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自贡市工商业联合会</w:t>
      </w:r>
    </w:p>
    <w:p>
      <w:pPr>
        <w:widowControl/>
        <w:spacing w:line="580" w:lineRule="exact"/>
        <w:jc w:val="center"/>
        <w:rPr>
          <w:rFonts w:ascii="方正小标宋简体" w:eastAsia="方正小标宋简体"/>
          <w:sz w:val="44"/>
          <w:szCs w:val="44"/>
        </w:rPr>
      </w:pPr>
      <w:r>
        <w:rPr>
          <w:rFonts w:hint="eastAsia" w:ascii="方正小标宋简体" w:eastAsia="方正小标宋简体"/>
          <w:sz w:val="44"/>
          <w:szCs w:val="44"/>
          <w:lang w:val="en-US" w:eastAsia="zh-CN"/>
        </w:rPr>
        <w:t>2023</w:t>
      </w:r>
      <w:r>
        <w:rPr>
          <w:rFonts w:hint="eastAsia" w:ascii="方正小标宋简体" w:eastAsia="方正小标宋简体"/>
          <w:sz w:val="44"/>
          <w:szCs w:val="44"/>
        </w:rPr>
        <w:t>年度</w:t>
      </w:r>
      <w:r>
        <w:rPr>
          <w:rFonts w:hint="eastAsia" w:ascii="方正小标宋简体" w:eastAsia="方正小标宋简体"/>
          <w:sz w:val="44"/>
          <w:szCs w:val="44"/>
          <w:lang w:val="en-US" w:eastAsia="zh-CN"/>
        </w:rPr>
        <w:t>单位</w:t>
      </w:r>
      <w:r>
        <w:rPr>
          <w:rFonts w:hint="eastAsia" w:ascii="方正小标宋简体" w:eastAsia="方正小标宋简体"/>
          <w:sz w:val="44"/>
          <w:szCs w:val="44"/>
        </w:rPr>
        <w:t>决算编制的说明</w:t>
      </w:r>
    </w:p>
    <w:p>
      <w:pPr>
        <w:widowControl/>
        <w:jc w:val="center"/>
        <w:rPr>
          <w:rFonts w:ascii="仿宋_GB2312"/>
          <w:sz w:val="28"/>
          <w:szCs w:val="28"/>
        </w:rPr>
      </w:pPr>
    </w:p>
    <w:p>
      <w:pPr>
        <w:widowControl/>
        <w:jc w:val="center"/>
        <w:rPr>
          <w:rFonts w:ascii="黑体" w:hAnsi="黑体" w:eastAsia="黑体"/>
          <w:color w:val="000000"/>
          <w:sz w:val="48"/>
          <w:szCs w:val="48"/>
        </w:rPr>
      </w:pPr>
      <w:r>
        <w:rPr>
          <w:rFonts w:hint="eastAsia" w:ascii="黑体" w:hAnsi="黑体" w:eastAsia="黑体"/>
          <w:color w:val="000000"/>
          <w:sz w:val="44"/>
          <w:szCs w:val="44"/>
        </w:rPr>
        <w:t>目</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录</w:t>
      </w:r>
    </w:p>
    <w:p>
      <w:pPr>
        <w:pStyle w:val="9"/>
        <w:spacing w:line="500" w:lineRule="exact"/>
        <w:jc w:val="center"/>
        <w:rPr>
          <w:rFonts w:hint="eastAsia" w:ascii="仿宋_GB2312" w:eastAsia="仿宋_GB2312"/>
          <w:i w:val="0"/>
          <w:color w:val="auto"/>
          <w:sz w:val="32"/>
        </w:rPr>
      </w:pPr>
      <w:r>
        <w:rPr>
          <w:rFonts w:hint="eastAsia" w:ascii="仿宋_GB2312" w:eastAsia="仿宋_GB2312"/>
          <w:i w:val="0"/>
          <w:color w:val="auto"/>
          <w:sz w:val="32"/>
        </w:rPr>
        <w:t>公开时间：202</w:t>
      </w:r>
      <w:r>
        <w:rPr>
          <w:rFonts w:hint="eastAsia" w:ascii="仿宋_GB2312" w:eastAsia="仿宋_GB2312"/>
          <w:i w:val="0"/>
          <w:color w:val="auto"/>
          <w:sz w:val="32"/>
          <w:lang w:val="en-US" w:eastAsia="zh-CN"/>
        </w:rPr>
        <w:t>4</w:t>
      </w:r>
      <w:r>
        <w:rPr>
          <w:rFonts w:hint="eastAsia" w:ascii="仿宋_GB2312" w:eastAsia="仿宋_GB2312"/>
          <w:i w:val="0"/>
          <w:color w:val="auto"/>
          <w:sz w:val="32"/>
        </w:rPr>
        <w:t>年</w:t>
      </w:r>
      <w:r>
        <w:rPr>
          <w:rFonts w:hint="eastAsia" w:ascii="仿宋_GB2312" w:eastAsia="仿宋_GB2312"/>
          <w:i w:val="0"/>
          <w:color w:val="auto"/>
          <w:sz w:val="32"/>
          <w:lang w:val="en-US" w:eastAsia="zh-CN"/>
        </w:rPr>
        <w:t>10</w:t>
      </w:r>
      <w:r>
        <w:rPr>
          <w:rFonts w:hint="eastAsia" w:ascii="仿宋_GB2312" w:eastAsia="仿宋_GB2312"/>
          <w:i w:val="0"/>
          <w:color w:val="auto"/>
          <w:sz w:val="32"/>
        </w:rPr>
        <w:t>月</w:t>
      </w:r>
      <w:r>
        <w:rPr>
          <w:rFonts w:hint="eastAsia" w:ascii="仿宋_GB2312" w:eastAsia="仿宋_GB2312"/>
          <w:i w:val="0"/>
          <w:color w:val="auto"/>
          <w:sz w:val="32"/>
          <w:lang w:val="en-US" w:eastAsia="zh-CN"/>
        </w:rPr>
        <w:t>18</w:t>
      </w:r>
      <w:r>
        <w:rPr>
          <w:rFonts w:hint="eastAsia" w:ascii="仿宋_GB2312" w:eastAsia="仿宋_GB2312"/>
          <w:i w:val="0"/>
          <w:color w:val="auto"/>
          <w:sz w:val="32"/>
        </w:rPr>
        <w:t>日</w:t>
      </w:r>
    </w:p>
    <w:p>
      <w:pPr>
        <w:pStyle w:val="9"/>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TOC \o "1-2" \h \z \u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_Toc3028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 xml:space="preserve">第一部分 </w:t>
      </w:r>
      <w:r>
        <w:rPr>
          <w:rFonts w:hint="eastAsia" w:ascii="仿宋_GB2312" w:hAnsi="仿宋_GB2312" w:eastAsia="仿宋_GB2312" w:cs="仿宋_GB2312"/>
          <w:b w:val="0"/>
          <w:bCs w:val="0"/>
          <w:i w:val="0"/>
          <w:iCs w:val="0"/>
          <w:sz w:val="32"/>
          <w:szCs w:val="32"/>
          <w:lang w:val="en-US" w:eastAsia="zh-CN"/>
        </w:rPr>
        <w:t>单位</w:t>
      </w:r>
      <w:r>
        <w:rPr>
          <w:rFonts w:hint="eastAsia" w:ascii="仿宋_GB2312" w:hAnsi="仿宋_GB2312" w:eastAsia="仿宋_GB2312" w:cs="仿宋_GB2312"/>
          <w:b w:val="0"/>
          <w:bCs w:val="0"/>
          <w:i w:val="0"/>
          <w:iCs w:val="0"/>
          <w:sz w:val="32"/>
          <w:szCs w:val="32"/>
        </w:rPr>
        <w:t>概况</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_Toc3028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_Toc13157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lang w:eastAsia="zh-CN"/>
        </w:rPr>
        <w:t>一、主要职责</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_Toc13157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_Toc1989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lang w:val="en-US" w:eastAsia="zh-CN"/>
        </w:rPr>
        <w:t>二、机构设置</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_Toc1989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9"/>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_Toc13662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 xml:space="preserve">第二部分 </w:t>
      </w:r>
      <w:r>
        <w:rPr>
          <w:rFonts w:hint="eastAsia" w:ascii="仿宋_GB2312" w:hAnsi="仿宋_GB2312" w:eastAsia="仿宋_GB2312" w:cs="仿宋_GB2312"/>
          <w:b w:val="0"/>
          <w:bCs w:val="0"/>
          <w:i w:val="0"/>
          <w:iCs w:val="0"/>
          <w:sz w:val="32"/>
          <w:szCs w:val="32"/>
          <w:lang w:eastAsia="zh-CN"/>
        </w:rPr>
        <w:t>2023</w:t>
      </w:r>
      <w:r>
        <w:rPr>
          <w:rFonts w:hint="eastAsia" w:ascii="仿宋_GB2312" w:hAnsi="仿宋_GB2312" w:eastAsia="仿宋_GB2312" w:cs="仿宋_GB2312"/>
          <w:b w:val="0"/>
          <w:bCs w:val="0"/>
          <w:i w:val="0"/>
          <w:iCs w:val="0"/>
          <w:sz w:val="32"/>
          <w:szCs w:val="32"/>
        </w:rPr>
        <w:t>年度</w:t>
      </w:r>
      <w:r>
        <w:rPr>
          <w:rFonts w:hint="eastAsia" w:ascii="仿宋_GB2312" w:hAnsi="仿宋_GB2312" w:eastAsia="仿宋_GB2312" w:cs="仿宋_GB2312"/>
          <w:b w:val="0"/>
          <w:bCs w:val="0"/>
          <w:i w:val="0"/>
          <w:iCs w:val="0"/>
          <w:sz w:val="32"/>
          <w:szCs w:val="32"/>
          <w:lang w:val="en-US" w:eastAsia="zh-CN"/>
        </w:rPr>
        <w:t>单位</w:t>
      </w:r>
      <w:r>
        <w:rPr>
          <w:rFonts w:hint="eastAsia" w:ascii="仿宋_GB2312" w:hAnsi="仿宋_GB2312" w:eastAsia="仿宋_GB2312" w:cs="仿宋_GB2312"/>
          <w:b w:val="0"/>
          <w:bCs w:val="0"/>
          <w:i w:val="0"/>
          <w:iCs w:val="0"/>
          <w:sz w:val="32"/>
          <w:szCs w:val="32"/>
        </w:rPr>
        <w:t>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_Toc13662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_Toc18582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一、 收入支出决算总体情况说明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_Toc18582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_Toc9811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二、 收入决算情况说明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_Toc9811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_Toc17567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三、 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_Toc17567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4</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_Toc2589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四、财政拨款收入支出决算总体情况说明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_Toc2589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4</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_Toc17328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五、一般公共预算财政拨款支出决算情况说明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_Toc17328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5</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_Toc30529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六、一般公共预算财政拨款基本支出决算情况说明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_Toc30529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8</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_Toc98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七、“三公”经费财政拨款支出决算情况说明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_Toc98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9</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_Toc27509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八、政府性基金预算支出决算情况说明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_Toc27509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_Toc269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九、 国有资本经营预算支出决算情况说明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_Toc269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_Toc15678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十、其他重要事项的情况说明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_Toc15678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9"/>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_Toc19818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第三部分 名词解释</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_Toc19818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9"/>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_Toc23450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第四部分 附件</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_Toc23450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9"/>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_Toc3613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第五部分 附表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_Toc3613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_Toc21455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一、收入支出决算总表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_Toc21455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_Toc19902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二、收入决算表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_Toc19902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_Toc5842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三、支出决算表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_Toc5842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_Toc3877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四、财政拨款收入支出决算总表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_Toc3877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_Toc750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五、财政拨款支出决算明细表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_Toc750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_Toc19194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六、一般公共预算财政拨款支出决算表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_Toc19194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_Toc7054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七、一般公共预算财政拨款支出决算明细表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_Toc7054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_Toc14041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八、一般公共预算财政拨款基本支出决算表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_Toc14041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_Toc26706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九、一般公共预算财政拨款项目支出决算表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_Toc26706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_Toc2700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十、政府性基金预算财政拨款收入支出决算表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_Toc2700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_Toc32218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十一、国有资本经营预算</w:t>
      </w:r>
      <w:r>
        <w:rPr>
          <w:rFonts w:hint="eastAsia" w:ascii="仿宋_GB2312" w:hAnsi="仿宋_GB2312" w:eastAsia="仿宋_GB2312" w:cs="仿宋_GB2312"/>
          <w:b w:val="0"/>
          <w:bCs w:val="0"/>
          <w:i w:val="0"/>
          <w:iCs w:val="0"/>
          <w:sz w:val="32"/>
          <w:szCs w:val="32"/>
          <w:highlight w:val="none"/>
          <w:lang w:eastAsia="zh-CN"/>
        </w:rPr>
        <w:t>财政拨款收入</w:t>
      </w:r>
      <w:r>
        <w:rPr>
          <w:rFonts w:hint="eastAsia" w:ascii="仿宋_GB2312" w:hAnsi="仿宋_GB2312" w:eastAsia="仿宋_GB2312" w:cs="仿宋_GB2312"/>
          <w:b w:val="0"/>
          <w:bCs w:val="0"/>
          <w:i w:val="0"/>
          <w:iCs w:val="0"/>
          <w:sz w:val="32"/>
          <w:szCs w:val="32"/>
          <w:highlight w:val="none"/>
        </w:rPr>
        <w:t>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_Toc32218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_Toc23596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十二、</w:t>
      </w:r>
      <w:r>
        <w:rPr>
          <w:rFonts w:hint="eastAsia" w:ascii="仿宋_GB2312" w:hAnsi="仿宋_GB2312" w:eastAsia="仿宋_GB2312" w:cs="仿宋_GB2312"/>
          <w:b w:val="0"/>
          <w:bCs w:val="0"/>
          <w:i w:val="0"/>
          <w:iCs w:val="0"/>
          <w:sz w:val="32"/>
          <w:szCs w:val="32"/>
          <w:highlight w:val="none"/>
          <w:lang w:eastAsia="zh-CN"/>
        </w:rPr>
        <w:t>国有资本经营预算财政拨款支出决算表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_Toc23596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0"/>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_Toc1521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十三、</w:t>
      </w:r>
      <w:r>
        <w:rPr>
          <w:rFonts w:hint="eastAsia" w:ascii="仿宋_GB2312" w:hAnsi="仿宋_GB2312" w:eastAsia="仿宋_GB2312" w:cs="仿宋_GB2312"/>
          <w:b w:val="0"/>
          <w:bCs w:val="0"/>
          <w:i w:val="0"/>
          <w:iCs w:val="0"/>
          <w:sz w:val="32"/>
          <w:szCs w:val="32"/>
          <w:highlight w:val="none"/>
          <w:lang w:eastAsia="zh-CN"/>
        </w:rPr>
        <w:t>财政拨款“三公”经费支出决算表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_Toc1521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23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2400" w:firstLineChars="750"/>
        <w:textAlignment w:val="auto"/>
        <w:rPr>
          <w:rFonts w:hint="eastAsia" w:ascii="仿宋_GB2312" w:hAnsi="仿宋"/>
          <w:color w:val="FF0000"/>
          <w:szCs w:val="32"/>
        </w:rPr>
      </w:pPr>
      <w:r>
        <w:rPr>
          <w:rFonts w:hint="eastAsia" w:ascii="仿宋_GB2312" w:hAnsi="仿宋_GB2312" w:eastAsia="仿宋_GB2312" w:cs="仿宋_GB2312"/>
          <w:b w:val="0"/>
          <w:bCs w:val="0"/>
          <w:i w:val="0"/>
          <w:iCs w:val="0"/>
          <w:caps/>
          <w:sz w:val="32"/>
          <w:szCs w:val="32"/>
        </w:rPr>
        <w:fldChar w:fldCharType="end"/>
      </w:r>
    </w:p>
    <w:p>
      <w:pPr>
        <w:pStyle w:val="3"/>
        <w:jc w:val="center"/>
        <w:rPr>
          <w:rFonts w:hint="eastAsia" w:ascii="黑体" w:hAnsi="黑体" w:eastAsia="黑体"/>
          <w:b w:val="0"/>
        </w:rPr>
        <w:sectPr>
          <w:pgSz w:w="11906" w:h="16838"/>
          <w:pgMar w:top="1440" w:right="1800" w:bottom="1440" w:left="1800" w:header="851" w:footer="992" w:gutter="0"/>
          <w:pgNumType w:fmt="decimal"/>
          <w:cols w:space="425" w:num="1"/>
          <w:docGrid w:type="lines" w:linePitch="312" w:charSpace="0"/>
        </w:sectPr>
      </w:pPr>
    </w:p>
    <w:p>
      <w:pPr>
        <w:pStyle w:val="3"/>
        <w:jc w:val="center"/>
        <w:rPr>
          <w:rStyle w:val="16"/>
          <w:rFonts w:ascii="黑体" w:hAnsi="黑体" w:eastAsia="黑体"/>
          <w:b/>
          <w:bCs w:val="0"/>
        </w:rPr>
      </w:pPr>
      <w:bookmarkStart w:id="0" w:name="_Toc3028"/>
      <w:r>
        <w:rPr>
          <w:rFonts w:hint="eastAsia" w:ascii="黑体" w:hAnsi="黑体" w:eastAsia="黑体"/>
          <w:b w:val="0"/>
        </w:rPr>
        <w:t>第一部分</w:t>
      </w:r>
      <w:r>
        <w:rPr>
          <w:rFonts w:ascii="黑体" w:hAnsi="黑体" w:eastAsia="黑体"/>
          <w:b w:val="0"/>
        </w:rPr>
        <w:t xml:space="preserve"> </w:t>
      </w:r>
      <w:r>
        <w:rPr>
          <w:rStyle w:val="16"/>
          <w:rFonts w:hint="eastAsia" w:ascii="黑体" w:hAnsi="黑体" w:eastAsia="黑体"/>
          <w:b w:val="0"/>
          <w:bCs w:val="0"/>
          <w:lang w:val="en-US" w:eastAsia="zh-CN"/>
        </w:rPr>
        <w:t>单位</w:t>
      </w:r>
      <w:r>
        <w:rPr>
          <w:rStyle w:val="16"/>
          <w:rFonts w:hint="eastAsia" w:ascii="黑体" w:hAnsi="黑体" w:eastAsia="黑体"/>
          <w:b w:val="0"/>
          <w:bCs w:val="0"/>
        </w:rPr>
        <w:t>概况</w:t>
      </w:r>
      <w:bookmarkEnd w:id="0"/>
    </w:p>
    <w:p>
      <w:pPr>
        <w:widowControl/>
        <w:jc w:val="left"/>
        <w:rPr>
          <w:rFonts w:ascii="黑体" w:eastAsia="黑体"/>
          <w:color w:val="000000"/>
          <w:sz w:val="32"/>
          <w:szCs w:val="32"/>
        </w:rPr>
      </w:pPr>
    </w:p>
    <w:p>
      <w:pPr>
        <w:pStyle w:val="4"/>
        <w:numPr>
          <w:ilvl w:val="0"/>
          <w:numId w:val="0"/>
        </w:numPr>
        <w:rPr>
          <w:rStyle w:val="20"/>
          <w:rFonts w:hint="eastAsia" w:ascii="黑体" w:hAnsi="黑体" w:eastAsia="黑体"/>
          <w:b w:val="0"/>
          <w:bCs w:val="0"/>
          <w:color w:val="auto"/>
          <w:highlight w:val="none"/>
          <w:lang w:eastAsia="zh-CN"/>
        </w:rPr>
      </w:pPr>
      <w:bookmarkStart w:id="1" w:name="_Toc13157"/>
      <w:bookmarkStart w:id="2" w:name="_Toc15396600"/>
      <w:bookmarkStart w:id="3" w:name="_Toc15377197"/>
      <w:r>
        <w:rPr>
          <w:rStyle w:val="20"/>
          <w:rFonts w:hint="eastAsia" w:ascii="黑体" w:hAnsi="黑体" w:eastAsia="黑体"/>
          <w:b w:val="0"/>
          <w:bCs w:val="0"/>
          <w:color w:val="auto"/>
          <w:highlight w:val="none"/>
          <w:lang w:eastAsia="zh-CN"/>
        </w:rPr>
        <w:t>一、主要职责</w:t>
      </w:r>
      <w:bookmarkEnd w:id="1"/>
    </w:p>
    <w:p>
      <w:pPr>
        <w:spacing w:line="600" w:lineRule="exact"/>
        <w:ind w:firstLine="640" w:firstLineChars="200"/>
        <w:rPr>
          <w:rFonts w:hint="eastAsia" w:ascii="仿宋_GB2312" w:hAnsi="仿宋_GB2312" w:eastAsia="仿宋_GB2312" w:cs="仿宋_GB2312"/>
          <w:color w:val="auto"/>
          <w:sz w:val="32"/>
          <w:szCs w:val="32"/>
          <w:highlight w:val="none"/>
        </w:rPr>
      </w:pPr>
      <w:bookmarkStart w:id="4" w:name="_Toc1989"/>
      <w:r>
        <w:rPr>
          <w:rFonts w:hint="eastAsia" w:ascii="仿宋_GB2312" w:hAnsi="仿宋_GB2312" w:eastAsia="仿宋_GB2312" w:cs="仿宋_GB2312"/>
          <w:color w:val="auto"/>
          <w:sz w:val="32"/>
          <w:szCs w:val="32"/>
          <w:highlight w:val="none"/>
        </w:rPr>
        <w:t>参与国家大政方针及政治、经济、</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"http://wenwen.sogou.com/s/?w=%E7%A4%BE%E4%BC%9A%E7%94%9F%E6%B4%BB&amp;ch=w.search.intlink"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社会生活</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中的重要问题的</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"http://wenwen.sogou.com/s/?w=%E6%94%BF%E6%B2%BB%E5%8D%8F%E5%95%86&amp;ch=w.search.intlink"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政治协商</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"http://wenwen.sogou.com/s/?w=%E5%8F%82%E6%94%BF%E8%AE%AE%E6%94%BF&amp;ch=w.search.intlink"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参政议政</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"http://wenwen.sogou.com/s/?w=%E6%B0%91%E4%B8%BB%E7%9B%91%E7%9D%A3&amp;ch=w.search.intlink"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民主监督</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；引导会员积极参加国家经济建设，推动</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"http://wenwen.sogou.com/s/?w=%E7%A4%BE%E4%BC%9A%E4%B8%BB%E4%B9%89%E5%B8%82%E5%9C%BA%E7%BB%8F%E6%B5%8E%E4%BD%93%E5%88%B6&amp;ch=w.search.intlink"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社会主义市场经济体制</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逐步完善，促进社会全面进步；做</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"http://wenwen.sogou.com/s/?w=%E5%B7%A5%E5%95%86&amp;ch=w.search.intlink"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工商</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界代表人士政治安排的推荐工作；在</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"http://wenwen.sogou.com/s/?w=%E9%9D%9E%E5%85%AC%E6%9C%89%E5%88%B6%E7%BB%8F%E6%B5%8E&amp;ch=w.search.intlink"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非公有制经济</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人士中，宣传、贯彻党和国家的方针政策，加强</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"http://wenwen.sogou.com/s/?w=%E6%80%9D%E6%83%B3%E6%94%BF%E6%B2%BB%E5%B7%A5%E4%BD%9C&amp;ch=w.search.intlink"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思想政治工作</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，推动</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"http://wenwen.sogou.com/s/?w=%E4%BC%81%E4%B8%9A%E6%96%87%E5%8C%96%E5%BB%BA%E8%AE%BE&amp;ch=w.search.intlink"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企业文化建设</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，引导会员做</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"http://wenwen.sogou.com/s/?w=%E4%B8%AD%E5%9B%BD%E7%89%B9%E8%89%B2%E7%A4%BE%E4%BC%9A%E4%B8%BB%E4%B9%89&amp;ch=w.search.intlink"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中国特色社会主义</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事业的建设者；代表并维护会员的合法权益，反映会员的意见、要求和建议；引导会员积极参与“</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"http://wenwen.sogou.com/s/?w=%E5%85%89%E5%BD%A9%E4%BA%8B%E4%B8%9A&amp;ch=w.search.intlink"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光彩事业</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”；为会员提供信息和科技、管理、法律、会计、审计、</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"http://wenwen.sogou.com/s/?w=%E8%9E%8D%E8%B5%84&amp;ch=w.search.intlink"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融资</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、咨询等服务；开展工商</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"http://wenwen.sogou.com/s/?w=%E4%B8%93%E4%B8%9A%E5%9F%B9%E8%AE%AD&amp;ch=w.search.intlink"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专业培训</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，帮助会员改进</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"http://wenwen.sogou.com/s/?w=%E7%BB%8F%E8%90%A5%E7%AE%A1%E7%90%86&amp;ch=w.search.intlink"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经营管理</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，完善</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"http://wenwen.sogou.com/s/?w=%E8%B4%A2%E4%BC%9A&amp;ch=w.search.intlink"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财会</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管理，提高</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"http://wenwen.sogou.com/s/?w=%E7%94%9F%E4%BA%A7%E6%8A%80%E6%9C%AF&amp;ch=w.search.intlink"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生产技术</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和</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"http://wenwen.sogou.com/s/?w=%E4%BA%A7%E5%93%81%E8%B4%A8%E9%87%8F&amp;ch=w.search.intlink"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产品质量</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；组织会员举办和参加各种对内对外</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"http://wenwen.sogou.com/s/?w=%E5%B1%95%E9%94%80%E4%BC%9A&amp;ch=w.search.intlink"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展销会</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、交易会，组织会员出国、出境考察访问，帮助会员开拓国内、国际市场；增进与</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"http://wenwen.sogou.com/s/?w=%E9%A6%99%E6%B8%AF%E7%89%B9%E5%88%AB%E8%A1%8C%E6%94%BF%E5%8C%BA&amp;ch=w.search.intlink"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香港特别行政区</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"http://wenwen.sogou.com/s/?w=%E6%BE%B3%E9%97%A8%E7%89%B9%E5%88%AB%E8%A1%8C%E6%94%BF%E5%8C%BA&amp;ch=w.search.intlink"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澳门特别行政区</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及</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"http://wenwen.sogou.com/s/?w=%E5%8F%B0%E6%B9%BE%E5%9C%B0%E5%8C%BA&amp;ch=w.search.intlink"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台湾地区</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和世界各国工商</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"http://wenwen.sogou.com/s/?w=%E7%A4%BE%E5%9B%A2&amp;ch=w.search.intlink"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社团</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及工商</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"http://wenwen.sogou.com/s/?w=%E7%BB%8F%E6%B5%8E%E7%95%8C&amp;ch=w.search.intlink"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经济界</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人士的联系和友谊，促进经济、技术和</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"http://wenwen.sogou.com/s/?w=%E8%B4%B8%E6%98%93&amp;ch=w.search.intlink"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贸易</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合作；办好会办企业、事业；承办政府和有关部门的委托事项。</w:t>
      </w:r>
    </w:p>
    <w:p>
      <w:pPr>
        <w:pStyle w:val="4"/>
        <w:numPr>
          <w:ilvl w:val="0"/>
          <w:numId w:val="0"/>
        </w:numPr>
        <w:rPr>
          <w:rFonts w:hint="eastAsia" w:ascii="黑体" w:hAnsi="黑体" w:eastAsia="黑体"/>
          <w:b w:val="0"/>
          <w:color w:val="auto"/>
          <w:highlight w:val="none"/>
        </w:rPr>
      </w:pPr>
      <w:r>
        <w:rPr>
          <w:rFonts w:hint="eastAsia" w:ascii="黑体" w:hAnsi="黑体" w:eastAsia="黑体"/>
          <w:b w:val="0"/>
          <w:color w:val="auto"/>
          <w:highlight w:val="none"/>
          <w:lang w:val="en-US" w:eastAsia="zh-CN"/>
        </w:rPr>
        <w:t>二、</w:t>
      </w:r>
      <w:bookmarkEnd w:id="2"/>
      <w:bookmarkEnd w:id="3"/>
      <w:r>
        <w:rPr>
          <w:rFonts w:hint="eastAsia" w:ascii="黑体" w:hAnsi="黑体" w:eastAsia="黑体"/>
          <w:b w:val="0"/>
          <w:color w:val="auto"/>
          <w:highlight w:val="none"/>
          <w:lang w:val="en-US" w:eastAsia="zh-CN"/>
        </w:rPr>
        <w:t>机构设置</w:t>
      </w:r>
      <w:bookmarkEnd w:id="4"/>
    </w:p>
    <w:p>
      <w:pPr>
        <w:spacing w:line="6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自贡市工商业联合会。简称自贡市工商联,是</w:t>
      </w:r>
      <w:r>
        <w:fldChar w:fldCharType="begin"/>
      </w:r>
      <w:r>
        <w:instrText xml:space="preserve"> HYPERLINK "http://wenwen.sogou.com/s/?w=%E4%B8%AD%E5%9B%BD%E5%85%B1%E4%BA%A7%E5%85%9A&amp;ch=w.search.intlink" </w:instrText>
      </w:r>
      <w:r>
        <w:fldChar w:fldCharType="separate"/>
      </w:r>
      <w:r>
        <w:rPr>
          <w:rFonts w:hint="eastAsia" w:ascii="仿宋_GB2312" w:hAnsi="仿宋_GB2312" w:eastAsia="仿宋_GB2312" w:cs="仿宋_GB2312"/>
          <w:color w:val="auto"/>
          <w:sz w:val="32"/>
          <w:szCs w:val="32"/>
          <w:highlight w:val="none"/>
        </w:rPr>
        <w:t>中国共产党</w:t>
      </w:r>
      <w:r>
        <w:fldChar w:fldCharType="end"/>
      </w:r>
      <w:r>
        <w:rPr>
          <w:rFonts w:hint="eastAsia" w:ascii="仿宋_GB2312" w:hAnsi="仿宋_GB2312" w:eastAsia="仿宋_GB2312" w:cs="仿宋_GB2312"/>
          <w:color w:val="auto"/>
          <w:sz w:val="32"/>
          <w:szCs w:val="32"/>
          <w:highlight w:val="none"/>
        </w:rPr>
        <w:t>领导的</w:t>
      </w:r>
      <w:r>
        <w:rPr>
          <w:rFonts w:hint="eastAsia" w:ascii="仿宋_GB2312" w:hAnsi="仿宋_GB2312" w:eastAsia="仿宋_GB2312" w:cs="仿宋_GB2312"/>
          <w:color w:val="auto"/>
          <w:sz w:val="32"/>
          <w:szCs w:val="32"/>
          <w:highlight w:val="none"/>
          <w:lang w:eastAsia="zh-CN"/>
        </w:rPr>
        <w:t>以非公有制企业和非公有制经济人士为主体，具有统战性、经济性、民间性有机统一基本特征的人民团体和商会组织，是党和政府联系非公有制经济人士的桥梁纽带，是中国人民政治协商会议的重要组成部分</w:t>
      </w:r>
      <w:r>
        <w:rPr>
          <w:rFonts w:hint="eastAsia" w:ascii="仿宋_GB2312" w:hAnsi="仿宋_GB2312" w:eastAsia="仿宋_GB2312" w:cs="仿宋_GB2312"/>
          <w:color w:val="auto"/>
          <w:sz w:val="32"/>
          <w:szCs w:val="32"/>
          <w:highlight w:val="none"/>
        </w:rPr>
        <w:t>。</w:t>
      </w:r>
    </w:p>
    <w:p>
      <w:pPr>
        <w:widowControl/>
        <w:ind w:firstLine="640" w:firstLineChars="200"/>
        <w:jc w:val="left"/>
        <w:rPr>
          <w:rFonts w:ascii="仿宋" w:hAnsi="仿宋" w:eastAsia="仿宋"/>
          <w:color w:val="000000"/>
          <w:kern w:val="0"/>
          <w:sz w:val="32"/>
          <w:szCs w:val="32"/>
        </w:rPr>
      </w:pPr>
      <w:r>
        <w:rPr>
          <w:rFonts w:hint="eastAsia" w:ascii="仿宋_GB2312" w:hAnsi="仿宋_GB2312" w:eastAsia="仿宋_GB2312" w:cs="仿宋_GB2312"/>
          <w:color w:val="auto"/>
          <w:sz w:val="32"/>
          <w:szCs w:val="32"/>
          <w:highlight w:val="none"/>
          <w:lang w:val="en-US" w:eastAsia="zh-CN"/>
        </w:rPr>
        <w:t>市工商联现有</w:t>
      </w:r>
      <w:r>
        <w:rPr>
          <w:rFonts w:hint="eastAsia" w:ascii="仿宋_GB2312" w:hAnsi="仿宋_GB2312" w:eastAsia="仿宋_GB2312" w:cs="仿宋_GB2312"/>
          <w:color w:val="auto"/>
          <w:sz w:val="32"/>
          <w:szCs w:val="32"/>
          <w:highlight w:val="none"/>
        </w:rPr>
        <w:t>行政单位1个。内设机构</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办公室、</w:t>
      </w:r>
      <w:r>
        <w:rPr>
          <w:rFonts w:hint="eastAsia" w:ascii="仿宋_GB2312" w:hAnsi="仿宋_GB2312" w:eastAsia="仿宋_GB2312" w:cs="仿宋_GB2312"/>
          <w:color w:val="auto"/>
          <w:sz w:val="32"/>
          <w:szCs w:val="32"/>
          <w:highlight w:val="none"/>
          <w:lang w:eastAsia="zh-CN"/>
        </w:rPr>
        <w:t>研究室（参政议政室）、</w:t>
      </w:r>
      <w:r>
        <w:rPr>
          <w:rFonts w:hint="eastAsia" w:ascii="仿宋_GB2312" w:hAnsi="仿宋_GB2312" w:eastAsia="仿宋_GB2312" w:cs="仿宋_GB2312"/>
          <w:color w:val="auto"/>
          <w:sz w:val="32"/>
          <w:szCs w:val="32"/>
          <w:highlight w:val="none"/>
          <w:lang w:val="en-US" w:eastAsia="zh-CN"/>
        </w:rPr>
        <w:t>宣传教育</w:t>
      </w:r>
      <w:r>
        <w:rPr>
          <w:rFonts w:hint="eastAsia" w:ascii="仿宋_GB2312" w:hAnsi="仿宋_GB2312" w:eastAsia="仿宋_GB2312" w:cs="仿宋_GB2312"/>
          <w:color w:val="auto"/>
          <w:sz w:val="32"/>
          <w:szCs w:val="32"/>
          <w:highlight w:val="none"/>
          <w:lang w:eastAsia="zh-CN"/>
        </w:rPr>
        <w:t>部、会员部、</w:t>
      </w:r>
      <w:r>
        <w:rPr>
          <w:rFonts w:hint="eastAsia" w:ascii="仿宋_GB2312" w:hAnsi="仿宋_GB2312" w:eastAsia="仿宋_GB2312" w:cs="仿宋_GB2312"/>
          <w:color w:val="auto"/>
          <w:sz w:val="32"/>
          <w:szCs w:val="32"/>
          <w:highlight w:val="none"/>
        </w:rPr>
        <w:t>经济联络部、维权</w:t>
      </w:r>
      <w:r>
        <w:rPr>
          <w:rFonts w:hint="eastAsia" w:ascii="仿宋_GB2312" w:hAnsi="仿宋_GB2312" w:eastAsia="仿宋_GB2312" w:cs="仿宋_GB2312"/>
          <w:color w:val="auto"/>
          <w:sz w:val="32"/>
          <w:szCs w:val="32"/>
          <w:highlight w:val="none"/>
          <w:lang w:eastAsia="zh-CN"/>
        </w:rPr>
        <w:t>部</w:t>
      </w:r>
      <w:r>
        <w:rPr>
          <w:rFonts w:hint="eastAsia" w:ascii="仿宋_GB2312" w:hAnsi="仿宋_GB2312" w:eastAsia="仿宋_GB2312" w:cs="仿宋_GB2312"/>
          <w:color w:val="auto"/>
          <w:sz w:val="32"/>
          <w:szCs w:val="32"/>
          <w:highlight w:val="none"/>
        </w:rPr>
        <w:t>。</w:t>
      </w:r>
    </w:p>
    <w:p>
      <w:pPr>
        <w:rPr>
          <w:rFonts w:hint="eastAsia" w:ascii="黑体" w:hAnsi="黑体" w:eastAsia="黑体"/>
          <w:b w:val="0"/>
          <w:color w:val="000000"/>
        </w:rPr>
      </w:pPr>
      <w:bookmarkStart w:id="5" w:name="_Toc15396602"/>
      <w:bookmarkStart w:id="6" w:name="_Toc15377204"/>
      <w:r>
        <w:rPr>
          <w:rFonts w:hint="eastAsia" w:ascii="黑体" w:hAnsi="黑体" w:eastAsia="黑体"/>
          <w:b w:val="0"/>
          <w:color w:val="000000"/>
        </w:rPr>
        <w:br w:type="page"/>
      </w:r>
    </w:p>
    <w:p>
      <w:pPr>
        <w:pStyle w:val="3"/>
        <w:ind w:right="440"/>
        <w:jc w:val="right"/>
        <w:rPr>
          <w:rStyle w:val="16"/>
          <w:rFonts w:ascii="黑体" w:hAnsi="黑体" w:eastAsia="黑体"/>
          <w:b w:val="0"/>
          <w:bCs w:val="0"/>
        </w:rPr>
      </w:pPr>
      <w:bookmarkStart w:id="7" w:name="_Toc13662"/>
      <w:r>
        <w:rPr>
          <w:rFonts w:hint="eastAsia" w:ascii="黑体" w:hAnsi="黑体" w:eastAsia="黑体"/>
          <w:b w:val="0"/>
          <w:color w:val="000000"/>
        </w:rPr>
        <w:t>第二部分</w:t>
      </w:r>
      <w:r>
        <w:rPr>
          <w:rFonts w:ascii="黑体" w:hAnsi="黑体" w:eastAsia="黑体"/>
          <w:color w:val="000000"/>
        </w:rPr>
        <w:t xml:space="preserve"> </w:t>
      </w:r>
      <w:r>
        <w:rPr>
          <w:rStyle w:val="16"/>
          <w:rFonts w:hint="eastAsia" w:ascii="黑体" w:hAnsi="黑体" w:eastAsia="黑体"/>
          <w:b w:val="0"/>
          <w:bCs w:val="0"/>
          <w:lang w:eastAsia="zh-CN"/>
        </w:rPr>
        <w:t>2023</w:t>
      </w:r>
      <w:r>
        <w:rPr>
          <w:rStyle w:val="16"/>
          <w:rFonts w:hint="eastAsia" w:ascii="黑体" w:hAnsi="黑体" w:eastAsia="黑体"/>
          <w:b w:val="0"/>
          <w:bCs w:val="0"/>
        </w:rPr>
        <w:t>年度</w:t>
      </w:r>
      <w:r>
        <w:rPr>
          <w:rStyle w:val="16"/>
          <w:rFonts w:hint="eastAsia" w:ascii="黑体" w:hAnsi="黑体" w:eastAsia="黑体"/>
          <w:b w:val="0"/>
          <w:bCs w:val="0"/>
          <w:lang w:val="en-US" w:eastAsia="zh-CN"/>
        </w:rPr>
        <w:t>单位</w:t>
      </w:r>
      <w:r>
        <w:rPr>
          <w:rStyle w:val="16"/>
          <w:rFonts w:hint="eastAsia" w:ascii="黑体" w:hAnsi="黑体" w:eastAsia="黑体"/>
          <w:b w:val="0"/>
          <w:bCs w:val="0"/>
        </w:rPr>
        <w:t>决算情况说明</w:t>
      </w:r>
      <w:bookmarkEnd w:id="5"/>
      <w:bookmarkEnd w:id="6"/>
      <w:bookmarkEnd w:id="7"/>
    </w:p>
    <w:p/>
    <w:p>
      <w:pPr>
        <w:pStyle w:val="18"/>
        <w:numPr>
          <w:ilvl w:val="0"/>
          <w:numId w:val="1"/>
        </w:numPr>
        <w:spacing w:line="600" w:lineRule="exact"/>
        <w:ind w:firstLineChars="0"/>
        <w:outlineLvl w:val="1"/>
        <w:rPr>
          <w:rStyle w:val="17"/>
          <w:rFonts w:ascii="黑体" w:hAnsi="黑体" w:eastAsia="黑体"/>
          <w:b w:val="0"/>
        </w:rPr>
      </w:pPr>
      <w:bookmarkStart w:id="8" w:name="_Toc18582"/>
      <w:bookmarkStart w:id="9" w:name="_Toc15377205"/>
      <w:bookmarkStart w:id="10" w:name="_Toc15396603"/>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8"/>
      <w:bookmarkEnd w:id="9"/>
      <w:bookmarkEnd w:id="10"/>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度收、支总计</w:t>
      </w:r>
      <w:r>
        <w:rPr>
          <w:rFonts w:hint="eastAsia" w:ascii="仿宋_GB2312" w:hAnsi="仿宋_GB2312" w:cs="仿宋_GB2312"/>
          <w:color w:val="auto"/>
          <w:sz w:val="32"/>
          <w:szCs w:val="32"/>
          <w:highlight w:val="none"/>
          <w:lang w:val="en-US" w:eastAsia="zh-CN"/>
        </w:rPr>
        <w:t>686.04</w:t>
      </w:r>
      <w:r>
        <w:rPr>
          <w:rFonts w:hint="eastAsia" w:ascii="仿宋_GB2312" w:hAnsi="仿宋_GB2312" w:eastAsia="仿宋_GB2312" w:cs="仿宋_GB2312"/>
          <w:color w:val="auto"/>
          <w:sz w:val="32"/>
          <w:szCs w:val="32"/>
          <w:highlight w:val="none"/>
        </w:rPr>
        <w:t>万元。与</w:t>
      </w:r>
      <w:r>
        <w:rPr>
          <w:rFonts w:hint="eastAsia" w:ascii="仿宋_GB2312" w:hAnsi="仿宋_GB2312" w:cs="仿宋_GB2312"/>
          <w:color w:val="auto"/>
          <w:sz w:val="32"/>
          <w:szCs w:val="32"/>
          <w:highlight w:val="none"/>
          <w:lang w:eastAsia="zh-CN"/>
        </w:rPr>
        <w:t>2022年</w:t>
      </w:r>
      <w:r>
        <w:rPr>
          <w:rFonts w:hint="eastAsia" w:ascii="仿宋_GB2312" w:hAnsi="仿宋_GB2312" w:eastAsia="仿宋_GB2312" w:cs="仿宋_GB2312"/>
          <w:color w:val="auto"/>
          <w:sz w:val="32"/>
          <w:szCs w:val="32"/>
          <w:highlight w:val="none"/>
        </w:rPr>
        <w:t>相比，收、支总计各增加</w:t>
      </w:r>
      <w:r>
        <w:rPr>
          <w:rFonts w:hint="eastAsia" w:ascii="仿宋_GB2312" w:hAnsi="仿宋_GB2312" w:cs="仿宋_GB2312"/>
          <w:color w:val="auto"/>
          <w:sz w:val="32"/>
          <w:szCs w:val="32"/>
          <w:highlight w:val="none"/>
          <w:lang w:val="en-US" w:eastAsia="zh-CN"/>
        </w:rPr>
        <w:t>133.53</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24.17</w:t>
      </w:r>
      <w:r>
        <w:rPr>
          <w:rFonts w:hint="eastAsia" w:ascii="仿宋_GB2312" w:hAnsi="仿宋_GB2312" w:eastAsia="仿宋_GB2312" w:cs="仿宋_GB2312"/>
          <w:color w:val="auto"/>
          <w:sz w:val="32"/>
          <w:szCs w:val="32"/>
          <w:highlight w:val="none"/>
        </w:rPr>
        <w:t>%。主要变动原因是2023年</w:t>
      </w:r>
      <w:r>
        <w:rPr>
          <w:rFonts w:hint="eastAsia" w:ascii="仿宋_GB2312" w:hAnsi="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rPr>
        <w:t>省级财政重大项目招商引资激励奖补资金</w:t>
      </w:r>
      <w:r>
        <w:rPr>
          <w:rFonts w:hint="eastAsia" w:ascii="仿宋_GB2312" w:hAnsi="仿宋_GB2312" w:eastAsia="仿宋_GB2312" w:cs="仿宋_GB2312"/>
          <w:color w:val="auto"/>
          <w:sz w:val="32"/>
          <w:szCs w:val="32"/>
          <w:highlight w:val="none"/>
          <w:lang w:eastAsia="zh-CN"/>
        </w:rPr>
        <w:t>。</w:t>
      </w:r>
    </w:p>
    <w:p>
      <w:pPr>
        <w:spacing w:line="600" w:lineRule="exact"/>
        <w:ind w:firstLine="640" w:firstLineChars="200"/>
        <w:jc w:val="left"/>
        <w:rPr>
          <w:rFonts w:hint="eastAsia" w:ascii="仿宋_GB2312" w:hAnsi="仿宋_GB2312" w:eastAsia="仿宋_GB2312" w:cs="仿宋_GB2312"/>
          <w:color w:val="auto"/>
          <w:sz w:val="32"/>
          <w:szCs w:val="32"/>
          <w:highlight w:val="none"/>
        </w:rPr>
      </w:pPr>
    </w:p>
    <w:p>
      <w:pPr>
        <w:spacing w:line="600" w:lineRule="exact"/>
        <w:ind w:firstLine="1280" w:firstLineChars="4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（图1：收、支决算总计变动情况图）</w:t>
      </w:r>
    </w:p>
    <w:p>
      <w:pPr>
        <w:pStyle w:val="2"/>
        <w:jc w:val="center"/>
      </w:pPr>
      <w:r>
        <w:drawing>
          <wp:inline distT="0" distB="0" distL="114300" distR="114300">
            <wp:extent cx="4572000" cy="2743200"/>
            <wp:effectExtent l="4445" t="4445" r="14605" b="14605"/>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18"/>
        <w:numPr>
          <w:ilvl w:val="0"/>
          <w:numId w:val="1"/>
        </w:numPr>
        <w:spacing w:line="600" w:lineRule="exact"/>
        <w:ind w:firstLineChars="0"/>
        <w:outlineLvl w:val="1"/>
        <w:rPr>
          <w:rStyle w:val="17"/>
          <w:rFonts w:ascii="黑体" w:hAnsi="黑体" w:eastAsia="黑体"/>
          <w:b w:val="0"/>
        </w:rPr>
      </w:pPr>
      <w:bookmarkStart w:id="11" w:name="_Toc804272208"/>
      <w:bookmarkStart w:id="12" w:name="_Toc15377206"/>
      <w:bookmarkStart w:id="13" w:name="_Toc9811"/>
      <w:bookmarkStart w:id="14" w:name="_Toc15396604"/>
      <w:r>
        <w:rPr>
          <w:rFonts w:hint="eastAsia" w:ascii="黑体" w:hAnsi="黑体" w:eastAsia="黑体"/>
          <w:color w:val="000000"/>
          <w:sz w:val="32"/>
          <w:szCs w:val="32"/>
        </w:rPr>
        <w:t>收</w:t>
      </w:r>
      <w:r>
        <w:rPr>
          <w:rStyle w:val="17"/>
          <w:rFonts w:hint="eastAsia" w:ascii="黑体" w:hAnsi="黑体" w:eastAsia="黑体"/>
          <w:b w:val="0"/>
        </w:rPr>
        <w:t>入决算情况说明</w:t>
      </w:r>
      <w:bookmarkEnd w:id="11"/>
      <w:bookmarkEnd w:id="12"/>
      <w:bookmarkEnd w:id="13"/>
      <w:bookmarkEnd w:id="14"/>
    </w:p>
    <w:p>
      <w:pPr>
        <w:spacing w:line="600" w:lineRule="exact"/>
        <w:ind w:firstLine="640" w:firstLineChars="200"/>
        <w:outlineLvl w:val="9"/>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本年收入合计</w:t>
      </w:r>
      <w:r>
        <w:rPr>
          <w:rFonts w:hint="eastAsia" w:ascii="仿宋_GB2312" w:hAnsi="仿宋_GB2312" w:cs="仿宋_GB2312"/>
          <w:color w:val="auto"/>
          <w:sz w:val="32"/>
          <w:szCs w:val="32"/>
          <w:highlight w:val="none"/>
          <w:lang w:val="en-US" w:eastAsia="zh-CN"/>
        </w:rPr>
        <w:t>686.04</w:t>
      </w:r>
      <w:r>
        <w:rPr>
          <w:rFonts w:hint="eastAsia" w:ascii="仿宋_GB2312" w:hAnsi="仿宋_GB2312" w:eastAsia="仿宋_GB2312" w:cs="仿宋_GB2312"/>
          <w:color w:val="auto"/>
          <w:sz w:val="32"/>
          <w:szCs w:val="32"/>
          <w:highlight w:val="none"/>
        </w:rPr>
        <w:t>万元，其中：一般公共预算财政拨款收入</w:t>
      </w:r>
      <w:r>
        <w:rPr>
          <w:rFonts w:hint="eastAsia" w:ascii="仿宋_GB2312" w:hAnsi="仿宋_GB2312" w:cs="仿宋_GB2312"/>
          <w:color w:val="auto"/>
          <w:sz w:val="32"/>
          <w:szCs w:val="32"/>
          <w:highlight w:val="none"/>
          <w:lang w:val="en-US" w:eastAsia="zh-CN"/>
        </w:rPr>
        <w:t>686.04</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100.00</w:t>
      </w:r>
      <w:r>
        <w:rPr>
          <w:rFonts w:hint="eastAsia" w:ascii="仿宋_GB2312" w:hAnsi="仿宋_GB2312" w:eastAsia="仿宋_GB2312" w:cs="仿宋_GB2312"/>
          <w:color w:val="auto"/>
          <w:sz w:val="32"/>
          <w:szCs w:val="32"/>
          <w:highlight w:val="none"/>
        </w:rPr>
        <w:t>%。</w:t>
      </w:r>
    </w:p>
    <w:p>
      <w:pPr>
        <w:spacing w:line="600" w:lineRule="exact"/>
        <w:ind w:firstLine="640" w:firstLineChars="200"/>
        <w:outlineLvl w:val="1"/>
        <w:rPr>
          <w:rFonts w:ascii="仿宋" w:hAnsi="仿宋" w:eastAsia="仿宋"/>
          <w:color w:val="000000"/>
          <w:sz w:val="32"/>
          <w:szCs w:val="32"/>
        </w:rPr>
      </w:pPr>
    </w:p>
    <w:p>
      <w:pPr>
        <w:spacing w:line="600" w:lineRule="exact"/>
        <w:ind w:firstLine="1920" w:firstLineChars="600"/>
        <w:rPr>
          <w:rFonts w:ascii="仿宋" w:hAnsi="仿宋" w:eastAsia="仿宋"/>
          <w:color w:val="000000"/>
          <w:sz w:val="32"/>
          <w:szCs w:val="32"/>
        </w:rPr>
      </w:pPr>
      <w:r>
        <w:rPr>
          <w:rFonts w:hint="eastAsia" w:ascii="仿宋_GB2312" w:hAnsi="仿宋_GB2312" w:eastAsia="仿宋_GB2312" w:cs="仿宋_GB2312"/>
          <w:color w:val="000000"/>
          <w:sz w:val="32"/>
          <w:szCs w:val="32"/>
        </w:rPr>
        <w:t>（图2：收入决算结构图）</w:t>
      </w:r>
    </w:p>
    <w:p>
      <w:pPr>
        <w:bidi w:val="0"/>
        <w:jc w:val="center"/>
      </w:pPr>
      <w:r>
        <w:drawing>
          <wp:inline distT="0" distB="0" distL="114300" distR="114300">
            <wp:extent cx="4829175" cy="2105660"/>
            <wp:effectExtent l="5080" t="4445" r="4445" b="234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8"/>
        <w:numPr>
          <w:ilvl w:val="0"/>
          <w:numId w:val="1"/>
        </w:numPr>
        <w:spacing w:line="600" w:lineRule="exact"/>
        <w:ind w:firstLineChars="0"/>
        <w:outlineLvl w:val="1"/>
        <w:rPr>
          <w:rStyle w:val="17"/>
          <w:rFonts w:ascii="黑体" w:hAnsi="黑体" w:eastAsia="黑体"/>
          <w:b w:val="0"/>
        </w:rPr>
      </w:pPr>
      <w:bookmarkStart w:id="15" w:name="_Toc15377207"/>
      <w:bookmarkStart w:id="16" w:name="_Toc15396605"/>
      <w:bookmarkStart w:id="17" w:name="_Toc609704471"/>
      <w:bookmarkStart w:id="18" w:name="_Toc17567"/>
      <w:r>
        <w:rPr>
          <w:rFonts w:hint="eastAsia" w:ascii="黑体" w:hAnsi="黑体" w:eastAsia="黑体"/>
          <w:color w:val="000000"/>
          <w:sz w:val="32"/>
          <w:szCs w:val="32"/>
        </w:rPr>
        <w:t>支</w:t>
      </w:r>
      <w:r>
        <w:rPr>
          <w:rStyle w:val="17"/>
          <w:rFonts w:hint="eastAsia" w:ascii="黑体" w:hAnsi="黑体" w:eastAsia="黑体"/>
          <w:b w:val="0"/>
        </w:rPr>
        <w:t>出决算情况说明</w:t>
      </w:r>
      <w:bookmarkEnd w:id="15"/>
      <w:bookmarkEnd w:id="16"/>
      <w:bookmarkEnd w:id="17"/>
      <w:bookmarkEnd w:id="18"/>
    </w:p>
    <w:p>
      <w:pPr>
        <w:spacing w:line="600" w:lineRule="exact"/>
        <w:ind w:firstLine="640" w:firstLineChars="200"/>
        <w:outlineLvl w:val="9"/>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本年支出合计</w:t>
      </w:r>
      <w:r>
        <w:rPr>
          <w:rFonts w:hint="eastAsia" w:ascii="仿宋_GB2312" w:hAnsi="仿宋_GB2312" w:cs="仿宋_GB2312"/>
          <w:color w:val="auto"/>
          <w:sz w:val="32"/>
          <w:szCs w:val="32"/>
          <w:highlight w:val="none"/>
          <w:lang w:val="en-US" w:eastAsia="zh-CN"/>
        </w:rPr>
        <w:t>686.04</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cs="仿宋_GB2312"/>
          <w:color w:val="auto"/>
          <w:sz w:val="32"/>
          <w:szCs w:val="32"/>
          <w:highlight w:val="none"/>
          <w:lang w:val="en-US" w:eastAsia="zh-CN"/>
        </w:rPr>
        <w:t>522.54</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76.17</w:t>
      </w:r>
      <w:r>
        <w:rPr>
          <w:rFonts w:hint="eastAsia" w:ascii="仿宋_GB2312" w:hAnsi="仿宋_GB2312" w:eastAsia="仿宋_GB2312" w:cs="仿宋_GB2312"/>
          <w:color w:val="auto"/>
          <w:sz w:val="32"/>
          <w:szCs w:val="32"/>
          <w:highlight w:val="none"/>
        </w:rPr>
        <w:t>%；项目支出</w:t>
      </w:r>
      <w:r>
        <w:rPr>
          <w:rFonts w:hint="eastAsia" w:ascii="仿宋_GB2312" w:hAnsi="仿宋_GB2312" w:cs="仿宋_GB2312"/>
          <w:color w:val="auto"/>
          <w:sz w:val="32"/>
          <w:szCs w:val="32"/>
          <w:highlight w:val="none"/>
          <w:lang w:val="en-US" w:eastAsia="zh-CN"/>
        </w:rPr>
        <w:t>163.5</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23.83</w:t>
      </w:r>
      <w:r>
        <w:rPr>
          <w:rFonts w:hint="eastAsia" w:ascii="仿宋_GB2312" w:hAnsi="仿宋_GB2312" w:eastAsia="仿宋_GB2312" w:cs="仿宋_GB2312"/>
          <w:color w:val="auto"/>
          <w:sz w:val="32"/>
          <w:szCs w:val="32"/>
          <w:highlight w:val="none"/>
        </w:rPr>
        <w:t>%。</w:t>
      </w:r>
    </w:p>
    <w:p>
      <w:pPr>
        <w:pStyle w:val="2"/>
        <w:rPr>
          <w:rFonts w:hint="eastAsia"/>
        </w:rPr>
      </w:pPr>
    </w:p>
    <w:p>
      <w:pPr>
        <w:spacing w:line="600" w:lineRule="exact"/>
        <w:ind w:firstLine="2240" w:firstLineChars="7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p>
    <w:p>
      <w:pPr>
        <w:bidi w:val="0"/>
        <w:jc w:val="center"/>
      </w:pPr>
      <w:r>
        <w:drawing>
          <wp:inline distT="0" distB="0" distL="114300" distR="114300">
            <wp:extent cx="4819650" cy="2543810"/>
            <wp:effectExtent l="4445" t="4445" r="14605"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outlineLvl w:val="1"/>
        <w:rPr>
          <w:rStyle w:val="17"/>
          <w:rFonts w:ascii="黑体" w:hAnsi="黑体" w:eastAsia="黑体"/>
          <w:b w:val="0"/>
        </w:rPr>
      </w:pPr>
      <w:bookmarkStart w:id="19" w:name="_Toc15396606"/>
      <w:bookmarkStart w:id="20" w:name="_Toc1887585605"/>
      <w:bookmarkStart w:id="21" w:name="_Toc2589"/>
      <w:bookmarkStart w:id="22" w:name="_Toc15377208"/>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19"/>
      <w:bookmarkEnd w:id="20"/>
      <w:bookmarkEnd w:id="21"/>
      <w:bookmarkEnd w:id="22"/>
    </w:p>
    <w:p>
      <w:pPr>
        <w:spacing w:line="600" w:lineRule="exact"/>
        <w:ind w:firstLine="640"/>
        <w:rPr>
          <w:rFonts w:ascii="仿宋" w:hAnsi="仿宋" w:eastAsia="仿宋"/>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财政拨款收、支总计</w:t>
      </w:r>
      <w:r>
        <w:rPr>
          <w:rFonts w:hint="eastAsia" w:ascii="仿宋_GB2312" w:hAnsi="仿宋_GB2312" w:cs="仿宋_GB2312"/>
          <w:color w:val="auto"/>
          <w:sz w:val="32"/>
          <w:szCs w:val="32"/>
          <w:highlight w:val="none"/>
          <w:lang w:val="en-US" w:eastAsia="zh-CN"/>
        </w:rPr>
        <w:t>686.04</w:t>
      </w:r>
      <w:r>
        <w:rPr>
          <w:rFonts w:hint="eastAsia" w:ascii="仿宋_GB2312" w:hAnsi="仿宋_GB2312" w:eastAsia="仿宋_GB2312" w:cs="仿宋_GB2312"/>
          <w:color w:val="auto"/>
          <w:sz w:val="32"/>
          <w:szCs w:val="32"/>
          <w:highlight w:val="none"/>
        </w:rPr>
        <w:t>万元。与</w:t>
      </w:r>
      <w:r>
        <w:rPr>
          <w:rFonts w:hint="eastAsia" w:ascii="仿宋_GB2312" w:hAnsi="仿宋_GB2312" w:cs="仿宋_GB2312"/>
          <w:color w:val="auto"/>
          <w:sz w:val="32"/>
          <w:szCs w:val="32"/>
          <w:highlight w:val="none"/>
          <w:lang w:eastAsia="zh-CN"/>
        </w:rPr>
        <w:t>2022年</w:t>
      </w:r>
      <w:r>
        <w:rPr>
          <w:rFonts w:hint="eastAsia" w:ascii="仿宋_GB2312" w:hAnsi="仿宋_GB2312" w:eastAsia="仿宋_GB2312" w:cs="仿宋_GB2312"/>
          <w:color w:val="auto"/>
          <w:sz w:val="32"/>
          <w:szCs w:val="32"/>
          <w:highlight w:val="none"/>
        </w:rPr>
        <w:t>相比，财政拨款收、支总计各增加</w:t>
      </w:r>
      <w:r>
        <w:rPr>
          <w:rFonts w:hint="eastAsia" w:ascii="仿宋_GB2312" w:hAnsi="仿宋_GB2312" w:cs="仿宋_GB2312"/>
          <w:color w:val="auto"/>
          <w:sz w:val="32"/>
          <w:szCs w:val="32"/>
          <w:highlight w:val="none"/>
          <w:lang w:val="en-US" w:eastAsia="zh-CN"/>
        </w:rPr>
        <w:t>133.53</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24.17</w:t>
      </w:r>
      <w:r>
        <w:rPr>
          <w:rFonts w:hint="eastAsia" w:ascii="仿宋_GB2312" w:hAnsi="仿宋_GB2312" w:eastAsia="仿宋_GB2312" w:cs="仿宋_GB2312"/>
          <w:color w:val="auto"/>
          <w:sz w:val="32"/>
          <w:szCs w:val="32"/>
          <w:highlight w:val="none"/>
        </w:rPr>
        <w:t>%。主要变动原因是2023年</w:t>
      </w:r>
      <w:r>
        <w:rPr>
          <w:rFonts w:hint="eastAsia" w:ascii="仿宋_GB2312" w:hAnsi="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rPr>
        <w:t>省级财政重大项目招商引资激励奖补资金</w:t>
      </w:r>
      <w:r>
        <w:rPr>
          <w:rFonts w:hint="eastAsia" w:ascii="仿宋_GB2312" w:hAnsi="仿宋_GB2312" w:eastAsia="仿宋_GB2312" w:cs="仿宋_GB2312"/>
          <w:color w:val="auto"/>
          <w:sz w:val="32"/>
          <w:szCs w:val="32"/>
          <w:highlight w:val="none"/>
          <w:lang w:eastAsia="zh-CN"/>
        </w:rPr>
        <w:t>。</w:t>
      </w:r>
    </w:p>
    <w:p>
      <w:pPr>
        <w:spacing w:line="600" w:lineRule="exact"/>
        <w:rPr>
          <w:rFonts w:ascii="仿宋" w:hAnsi="仿宋" w:eastAsia="仿宋"/>
          <w:color w:val="00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w:t>
      </w:r>
    </w:p>
    <w:p>
      <w:pPr>
        <w:bidi w:val="0"/>
        <w:jc w:val="center"/>
      </w:pPr>
      <w:r>
        <w:drawing>
          <wp:inline distT="0" distB="0" distL="114300" distR="114300">
            <wp:extent cx="4572000" cy="2743200"/>
            <wp:effectExtent l="4445" t="4445" r="14605" b="14605"/>
            <wp:docPr id="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17"/>
          <w:rFonts w:ascii="黑体" w:hAnsi="黑体" w:eastAsia="黑体"/>
          <w:b w:val="0"/>
        </w:rPr>
      </w:pPr>
      <w:bookmarkStart w:id="23" w:name="_Toc15377209"/>
      <w:bookmarkStart w:id="24" w:name="_Toc883410705"/>
      <w:bookmarkStart w:id="25" w:name="_Toc17328"/>
      <w:bookmarkStart w:id="26"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23"/>
      <w:bookmarkEnd w:id="24"/>
      <w:bookmarkEnd w:id="25"/>
      <w:bookmarkEnd w:id="26"/>
    </w:p>
    <w:p>
      <w:pPr>
        <w:spacing w:line="600" w:lineRule="exact"/>
        <w:ind w:firstLine="643" w:firstLineChars="200"/>
        <w:outlineLvl w:val="2"/>
        <w:rPr>
          <w:rFonts w:ascii="仿宋" w:hAnsi="仿宋" w:eastAsia="仿宋"/>
          <w:b/>
          <w:color w:val="000000"/>
          <w:sz w:val="32"/>
          <w:szCs w:val="32"/>
        </w:rPr>
      </w:pPr>
      <w:bookmarkStart w:id="27" w:name="_Toc15377210"/>
      <w:r>
        <w:rPr>
          <w:rFonts w:hint="eastAsia" w:ascii="仿宋" w:hAnsi="仿宋" w:eastAsia="仿宋"/>
          <w:b/>
          <w:color w:val="000000"/>
          <w:sz w:val="32"/>
          <w:szCs w:val="32"/>
        </w:rPr>
        <w:t>（一）一般公共预算财政拨款支出决算总体情况</w:t>
      </w:r>
      <w:bookmarkEnd w:id="27"/>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一般公共预算财政拨款支出</w:t>
      </w:r>
      <w:r>
        <w:rPr>
          <w:rFonts w:hint="eastAsia" w:ascii="仿宋_GB2312" w:hAnsi="仿宋_GB2312" w:cs="仿宋_GB2312"/>
          <w:color w:val="auto"/>
          <w:sz w:val="32"/>
          <w:szCs w:val="32"/>
          <w:highlight w:val="none"/>
          <w:lang w:val="en-US" w:eastAsia="zh-CN"/>
        </w:rPr>
        <w:t>686.04</w:t>
      </w:r>
      <w:r>
        <w:rPr>
          <w:rFonts w:hint="eastAsia" w:ascii="仿宋_GB2312" w:hAnsi="仿宋_GB2312" w:eastAsia="仿宋_GB2312" w:cs="仿宋_GB2312"/>
          <w:color w:val="auto"/>
          <w:sz w:val="32"/>
          <w:szCs w:val="32"/>
          <w:highlight w:val="none"/>
        </w:rPr>
        <w:t>万元，占本年支出合计的</w:t>
      </w:r>
      <w:r>
        <w:rPr>
          <w:rFonts w:hint="eastAsia" w:ascii="仿宋_GB2312" w:hAnsi="仿宋_GB2312" w:cs="仿宋_GB2312"/>
          <w:color w:val="auto"/>
          <w:sz w:val="32"/>
          <w:szCs w:val="32"/>
          <w:highlight w:val="none"/>
          <w:lang w:val="en-US" w:eastAsia="zh-CN"/>
        </w:rPr>
        <w:t>100.00</w:t>
      </w:r>
      <w:r>
        <w:rPr>
          <w:rFonts w:hint="eastAsia" w:ascii="仿宋_GB2312" w:hAnsi="仿宋_GB2312" w:eastAsia="仿宋_GB2312" w:cs="仿宋_GB2312"/>
          <w:color w:val="auto"/>
          <w:sz w:val="32"/>
          <w:szCs w:val="32"/>
          <w:highlight w:val="none"/>
        </w:rPr>
        <w:t>%。与</w:t>
      </w:r>
      <w:r>
        <w:rPr>
          <w:rFonts w:hint="eastAsia" w:ascii="仿宋_GB2312" w:hAnsi="仿宋_GB2312" w:cs="仿宋_GB2312"/>
          <w:color w:val="auto"/>
          <w:sz w:val="32"/>
          <w:szCs w:val="32"/>
          <w:highlight w:val="none"/>
          <w:lang w:eastAsia="zh-CN"/>
        </w:rPr>
        <w:t>2022年</w:t>
      </w:r>
      <w:r>
        <w:rPr>
          <w:rFonts w:hint="eastAsia" w:ascii="仿宋_GB2312" w:hAnsi="仿宋_GB2312" w:eastAsia="仿宋_GB2312" w:cs="仿宋_GB2312"/>
          <w:color w:val="auto"/>
          <w:sz w:val="32"/>
          <w:szCs w:val="32"/>
          <w:highlight w:val="none"/>
        </w:rPr>
        <w:t>相比，一般公共预算财政拨款</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增加</w:t>
      </w:r>
      <w:r>
        <w:rPr>
          <w:rFonts w:hint="eastAsia" w:ascii="仿宋_GB2312" w:hAnsi="仿宋_GB2312" w:cs="仿宋_GB2312"/>
          <w:color w:val="auto"/>
          <w:sz w:val="32"/>
          <w:szCs w:val="32"/>
          <w:highlight w:val="none"/>
          <w:lang w:val="en-US" w:eastAsia="zh-CN"/>
        </w:rPr>
        <w:t>133.53</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24.17</w:t>
      </w:r>
      <w:r>
        <w:rPr>
          <w:rFonts w:hint="eastAsia" w:ascii="仿宋_GB2312" w:hAnsi="仿宋_GB2312" w:eastAsia="仿宋_GB2312" w:cs="仿宋_GB2312"/>
          <w:color w:val="auto"/>
          <w:sz w:val="32"/>
          <w:szCs w:val="32"/>
          <w:highlight w:val="none"/>
        </w:rPr>
        <w:t>%。主要变动原因是2023年</w:t>
      </w:r>
      <w:r>
        <w:rPr>
          <w:rFonts w:hint="eastAsia" w:ascii="仿宋_GB2312" w:hAnsi="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rPr>
        <w:t>省级财政重大项目招商引资激励奖补资金</w:t>
      </w:r>
      <w:r>
        <w:rPr>
          <w:rFonts w:hint="eastAsia" w:ascii="仿宋_GB2312" w:hAnsi="仿宋_GB2312" w:eastAsia="仿宋_GB2312" w:cs="仿宋_GB2312"/>
          <w:color w:val="auto"/>
          <w:sz w:val="32"/>
          <w:szCs w:val="32"/>
          <w:highlight w:val="none"/>
          <w:lang w:eastAsia="zh-CN"/>
        </w:rPr>
        <w:t>。</w:t>
      </w:r>
    </w:p>
    <w:p>
      <w:pPr>
        <w:spacing w:line="600" w:lineRule="exact"/>
        <w:ind w:firstLine="643" w:firstLineChars="200"/>
        <w:rPr>
          <w:rFonts w:hint="eastAsia" w:ascii="仿宋" w:hAnsi="仿宋" w:eastAsia="仿宋"/>
          <w:b/>
          <w:color w:val="FF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bidi w:val="0"/>
        <w:jc w:val="center"/>
      </w:pPr>
      <w:r>
        <w:drawing>
          <wp:inline distT="0" distB="0" distL="114300" distR="114300">
            <wp:extent cx="4826000" cy="2743200"/>
            <wp:effectExtent l="4445" t="4445" r="8255" b="14605"/>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3" w:firstLineChars="200"/>
        <w:outlineLvl w:val="2"/>
        <w:rPr>
          <w:rFonts w:ascii="仿宋" w:hAnsi="仿宋" w:eastAsia="仿宋"/>
          <w:b/>
          <w:color w:val="000000"/>
          <w:sz w:val="32"/>
          <w:szCs w:val="32"/>
        </w:rPr>
      </w:pPr>
      <w:bookmarkStart w:id="28" w:name="_Toc15377211"/>
      <w:r>
        <w:rPr>
          <w:rFonts w:hint="eastAsia" w:ascii="仿宋" w:hAnsi="仿宋" w:eastAsia="仿宋"/>
          <w:b/>
          <w:color w:val="000000"/>
          <w:sz w:val="32"/>
          <w:szCs w:val="32"/>
        </w:rPr>
        <w:t>（二）一般公共预算财政拨款支出决算结构情况</w:t>
      </w:r>
      <w:bookmarkEnd w:id="28"/>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一般公共预算财政拨款支出</w:t>
      </w:r>
      <w:r>
        <w:rPr>
          <w:rFonts w:hint="eastAsia" w:ascii="仿宋_GB2312" w:hAnsi="仿宋_GB2312" w:cs="仿宋_GB2312"/>
          <w:color w:val="auto"/>
          <w:sz w:val="32"/>
          <w:szCs w:val="32"/>
          <w:highlight w:val="none"/>
          <w:lang w:val="en-US" w:eastAsia="zh-CN"/>
        </w:rPr>
        <w:t>686.04</w:t>
      </w:r>
      <w:r>
        <w:rPr>
          <w:rFonts w:hint="eastAsia" w:ascii="仿宋_GB2312" w:hAnsi="仿宋_GB2312" w:eastAsia="仿宋_GB2312" w:cs="仿宋_GB2312"/>
          <w:color w:val="auto"/>
          <w:sz w:val="32"/>
          <w:szCs w:val="32"/>
          <w:highlight w:val="none"/>
        </w:rPr>
        <w:t>万元，主要用于以下方面:</w:t>
      </w:r>
      <w:r>
        <w:rPr>
          <w:rFonts w:hint="eastAsia" w:ascii="仿宋_GB2312" w:hAnsi="仿宋_GB2312" w:eastAsia="仿宋_GB2312" w:cs="仿宋_GB2312"/>
          <w:b/>
          <w:color w:val="auto"/>
          <w:sz w:val="32"/>
          <w:szCs w:val="32"/>
          <w:highlight w:val="none"/>
        </w:rPr>
        <w:t>一般公共服务</w:t>
      </w:r>
      <w:r>
        <w:rPr>
          <w:rFonts w:hint="eastAsia" w:ascii="仿宋_GB2312" w:hAnsi="仿宋_GB2312" w:eastAsia="仿宋_GB2312" w:cs="仿宋_GB2312"/>
          <w:b/>
          <w:bCs/>
          <w:color w:val="auto"/>
          <w:sz w:val="32"/>
          <w:szCs w:val="32"/>
          <w:highlight w:val="none"/>
        </w:rPr>
        <w:t>支出</w:t>
      </w:r>
      <w:r>
        <w:rPr>
          <w:rFonts w:hint="eastAsia" w:ascii="仿宋_GB2312" w:hAnsi="仿宋_GB2312" w:cs="仿宋_GB2312"/>
          <w:color w:val="auto"/>
          <w:sz w:val="32"/>
          <w:szCs w:val="32"/>
          <w:highlight w:val="none"/>
          <w:lang w:val="en-US" w:eastAsia="zh-CN"/>
        </w:rPr>
        <w:t>495.11</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72.17</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color w:val="auto"/>
          <w:sz w:val="32"/>
          <w:szCs w:val="32"/>
          <w:highlight w:val="none"/>
        </w:rPr>
        <w:t>社会保障和就业</w:t>
      </w:r>
      <w:r>
        <w:rPr>
          <w:rFonts w:hint="eastAsia" w:ascii="仿宋_GB2312" w:hAnsi="仿宋_GB2312" w:eastAsia="仿宋_GB2312" w:cs="仿宋_GB2312"/>
          <w:b/>
          <w:bCs/>
          <w:color w:val="auto"/>
          <w:sz w:val="32"/>
          <w:szCs w:val="32"/>
          <w:highlight w:val="none"/>
        </w:rPr>
        <w:t>支出</w:t>
      </w:r>
      <w:r>
        <w:rPr>
          <w:rFonts w:hint="eastAsia" w:ascii="仿宋_GB2312" w:hAnsi="仿宋_GB2312" w:cs="仿宋_GB2312"/>
          <w:color w:val="auto"/>
          <w:sz w:val="32"/>
          <w:szCs w:val="32"/>
          <w:highlight w:val="none"/>
          <w:lang w:val="en-US" w:eastAsia="zh-CN"/>
        </w:rPr>
        <w:t>134.77</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19.64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rPr>
        <w:t>卫生健康支出</w:t>
      </w:r>
      <w:r>
        <w:rPr>
          <w:rFonts w:hint="eastAsia" w:ascii="仿宋_GB2312" w:hAnsi="仿宋_GB2312" w:cs="仿宋_GB2312"/>
          <w:color w:val="auto"/>
          <w:sz w:val="32"/>
          <w:szCs w:val="32"/>
          <w:highlight w:val="none"/>
          <w:lang w:val="en-US" w:eastAsia="zh-CN"/>
        </w:rPr>
        <w:t>25.8</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3.76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rPr>
        <w:t>住房保障支出</w:t>
      </w:r>
      <w:r>
        <w:rPr>
          <w:rFonts w:hint="eastAsia" w:ascii="仿宋_GB2312" w:hAnsi="仿宋_GB2312" w:cs="仿宋_GB2312"/>
          <w:color w:val="auto"/>
          <w:sz w:val="32"/>
          <w:szCs w:val="32"/>
          <w:highlight w:val="none"/>
          <w:lang w:val="en-US" w:eastAsia="zh-CN"/>
        </w:rPr>
        <w:t>30.36</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4.43</w:t>
      </w:r>
      <w:r>
        <w:rPr>
          <w:rFonts w:hint="eastAsia" w:ascii="仿宋_GB2312" w:hAnsi="仿宋_GB2312" w:eastAsia="仿宋_GB2312" w:cs="仿宋_GB2312"/>
          <w:color w:val="auto"/>
          <w:sz w:val="32"/>
          <w:szCs w:val="32"/>
          <w:highlight w:val="none"/>
        </w:rPr>
        <w:t>%。</w:t>
      </w:r>
    </w:p>
    <w:p>
      <w:pPr>
        <w:spacing w:line="600" w:lineRule="exact"/>
        <w:ind w:firstLine="640"/>
        <w:rPr>
          <w:rFonts w:ascii="仿宋" w:hAnsi="仿宋" w:eastAsia="仿宋"/>
          <w:color w:val="00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p>
    <w:p>
      <w:pPr>
        <w:bidi w:val="0"/>
        <w:jc w:val="center"/>
      </w:pPr>
      <w:r>
        <w:drawing>
          <wp:inline distT="0" distB="0" distL="114300" distR="114300">
            <wp:extent cx="4629785" cy="2962275"/>
            <wp:effectExtent l="4445" t="4445" r="13970" b="5080"/>
            <wp:docPr id="1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29" w:name="_Toc15377212"/>
      <w:r>
        <w:rPr>
          <w:rFonts w:hint="eastAsia" w:ascii="仿宋" w:hAnsi="仿宋" w:eastAsia="仿宋"/>
          <w:b/>
          <w:color w:val="000000"/>
          <w:sz w:val="32"/>
          <w:szCs w:val="32"/>
        </w:rPr>
        <w:t>（三）一般公共预算财政拨款支出决算具体情况</w:t>
      </w:r>
      <w:bookmarkEnd w:id="29"/>
    </w:p>
    <w:p>
      <w:pPr>
        <w:spacing w:line="600" w:lineRule="exact"/>
        <w:ind w:firstLine="643" w:firstLineChars="200"/>
        <w:outlineLvl w:val="2"/>
        <w:rPr>
          <w:rFonts w:hint="eastAsia" w:ascii="仿宋_GB2312" w:hAnsi="仿宋_GB2312" w:eastAsia="仿宋_GB2312" w:cs="仿宋_GB2312"/>
          <w:color w:val="auto"/>
          <w:sz w:val="32"/>
          <w:szCs w:val="32"/>
          <w:highlight w:val="none"/>
        </w:rPr>
      </w:pPr>
      <w:bookmarkStart w:id="30" w:name="_Toc15378460"/>
      <w:bookmarkStart w:id="31" w:name="_Toc15377444"/>
      <w:bookmarkStart w:id="32" w:name="_Toc15377213"/>
      <w:r>
        <w:rPr>
          <w:rFonts w:hint="eastAsia" w:ascii="仿宋_GB2312" w:hAnsi="仿宋_GB2312" w:cs="仿宋_GB2312"/>
          <w:b/>
          <w:color w:val="auto"/>
          <w:sz w:val="32"/>
          <w:szCs w:val="32"/>
          <w:highlight w:val="none"/>
          <w:lang w:eastAsia="zh-CN"/>
        </w:rPr>
        <w:t>2023年</w:t>
      </w:r>
      <w:r>
        <w:rPr>
          <w:rFonts w:hint="eastAsia" w:ascii="仿宋_GB2312" w:hAnsi="仿宋_GB2312" w:eastAsia="仿宋_GB2312" w:cs="仿宋_GB2312"/>
          <w:b/>
          <w:color w:val="auto"/>
          <w:sz w:val="32"/>
          <w:szCs w:val="32"/>
          <w:highlight w:val="none"/>
          <w:lang w:eastAsia="zh-CN"/>
        </w:rPr>
        <w:t>一</w:t>
      </w:r>
      <w:r>
        <w:rPr>
          <w:rFonts w:hint="eastAsia" w:ascii="仿宋_GB2312" w:hAnsi="仿宋_GB2312" w:eastAsia="仿宋_GB2312" w:cs="仿宋_GB2312"/>
          <w:b/>
          <w:color w:val="auto"/>
          <w:sz w:val="32"/>
          <w:szCs w:val="32"/>
          <w:highlight w:val="none"/>
        </w:rPr>
        <w:t>般公共预算支出决算数为</w:t>
      </w:r>
      <w:r>
        <w:rPr>
          <w:rFonts w:hint="eastAsia" w:ascii="仿宋_GB2312" w:hAnsi="仿宋_GB2312" w:cs="仿宋_GB2312"/>
          <w:b/>
          <w:color w:val="auto"/>
          <w:sz w:val="32"/>
          <w:szCs w:val="32"/>
          <w:highlight w:val="none"/>
          <w:lang w:val="en-US" w:eastAsia="zh-CN"/>
        </w:rPr>
        <w:t>686.04万元</w:t>
      </w:r>
      <w:r>
        <w:rPr>
          <w:rFonts w:hint="eastAsia" w:ascii="仿宋_GB2312" w:hAnsi="仿宋_GB2312" w:eastAsia="仿宋_GB2312" w:cs="仿宋_GB2312"/>
          <w:color w:val="auto"/>
          <w:sz w:val="32"/>
          <w:szCs w:val="32"/>
          <w:highlight w:val="none"/>
        </w:rPr>
        <w:t>，</w:t>
      </w:r>
      <w:r>
        <w:rPr>
          <w:rStyle w:val="14"/>
          <w:rFonts w:hint="eastAsia" w:ascii="仿宋_GB2312" w:hAnsi="仿宋_GB2312" w:eastAsia="仿宋_GB2312" w:cs="仿宋_GB2312"/>
          <w:bCs/>
          <w:color w:val="auto"/>
          <w:sz w:val="32"/>
          <w:szCs w:val="32"/>
          <w:highlight w:val="none"/>
        </w:rPr>
        <w:t>完成预算</w:t>
      </w:r>
      <w:r>
        <w:rPr>
          <w:rStyle w:val="14"/>
          <w:rFonts w:hint="eastAsia" w:ascii="仿宋_GB2312" w:hAnsi="仿宋_GB2312" w:cs="仿宋_GB2312"/>
          <w:bCs/>
          <w:color w:val="auto"/>
          <w:sz w:val="32"/>
          <w:szCs w:val="32"/>
          <w:highlight w:val="none"/>
          <w:lang w:val="en-US" w:eastAsia="zh-CN"/>
        </w:rPr>
        <w:t>100.00</w:t>
      </w:r>
      <w:r>
        <w:rPr>
          <w:rStyle w:val="14"/>
          <w:rFonts w:hint="eastAsia" w:ascii="仿宋_GB2312" w:hAnsi="仿宋_GB2312" w:eastAsia="仿宋_GB2312" w:cs="仿宋_GB2312"/>
          <w:bCs/>
          <w:color w:val="auto"/>
          <w:sz w:val="32"/>
          <w:szCs w:val="32"/>
          <w:highlight w:val="none"/>
        </w:rPr>
        <w:t>%。其中：</w:t>
      </w:r>
      <w:bookmarkEnd w:id="30"/>
      <w:bookmarkEnd w:id="31"/>
      <w:bookmarkEnd w:id="32"/>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eastAsia="仿宋_GB2312" w:cs="仿宋_GB2312"/>
          <w:bCs/>
          <w:color w:val="auto"/>
          <w:sz w:val="32"/>
          <w:szCs w:val="32"/>
          <w:highlight w:val="none"/>
        </w:rPr>
        <w:t>1.一般公共服务支出（类）</w:t>
      </w:r>
      <w:r>
        <w:rPr>
          <w:rStyle w:val="14"/>
          <w:rFonts w:hint="eastAsia" w:ascii="仿宋_GB2312" w:hAnsi="仿宋_GB2312" w:cs="仿宋_GB2312"/>
          <w:bCs/>
          <w:color w:val="auto"/>
          <w:sz w:val="32"/>
          <w:szCs w:val="32"/>
          <w:highlight w:val="none"/>
          <w:lang w:eastAsia="zh-CN"/>
        </w:rPr>
        <w:t>商贸事务</w:t>
      </w:r>
      <w:r>
        <w:rPr>
          <w:rStyle w:val="14"/>
          <w:rFonts w:hint="eastAsia" w:ascii="仿宋_GB2312" w:hAnsi="仿宋_GB2312" w:eastAsia="仿宋_GB2312" w:cs="仿宋_GB2312"/>
          <w:bCs/>
          <w:color w:val="auto"/>
          <w:sz w:val="32"/>
          <w:szCs w:val="32"/>
          <w:highlight w:val="none"/>
        </w:rPr>
        <w:t>（款）</w:t>
      </w:r>
      <w:r>
        <w:rPr>
          <w:rStyle w:val="14"/>
          <w:rFonts w:hint="eastAsia" w:ascii="仿宋_GB2312" w:hAnsi="仿宋_GB2312" w:cs="仿宋_GB2312"/>
          <w:bCs/>
          <w:color w:val="auto"/>
          <w:sz w:val="32"/>
          <w:szCs w:val="32"/>
          <w:highlight w:val="none"/>
          <w:lang w:eastAsia="zh-CN"/>
        </w:rPr>
        <w:t>招商引资</w:t>
      </w:r>
      <w:r>
        <w:rPr>
          <w:rStyle w:val="14"/>
          <w:rFonts w:hint="eastAsia" w:ascii="仿宋_GB2312" w:hAnsi="仿宋_GB2312" w:eastAsia="仿宋_GB2312" w:cs="仿宋_GB2312"/>
          <w:bCs/>
          <w:color w:val="auto"/>
          <w:sz w:val="32"/>
          <w:szCs w:val="32"/>
          <w:highlight w:val="none"/>
        </w:rPr>
        <w:t>（项）:</w:t>
      </w:r>
      <w:r>
        <w:rPr>
          <w:rStyle w:val="14"/>
          <w:rFonts w:hint="eastAsia" w:ascii="仿宋_GB2312" w:hAnsi="仿宋_GB2312" w:eastAsia="仿宋_GB2312" w:cs="仿宋_GB2312"/>
          <w:b w:val="0"/>
          <w:bCs/>
          <w:color w:val="auto"/>
          <w:sz w:val="32"/>
          <w:szCs w:val="32"/>
          <w:highlight w:val="none"/>
        </w:rPr>
        <w:t xml:space="preserve"> 支出决算为</w:t>
      </w:r>
      <w:r>
        <w:rPr>
          <w:rStyle w:val="14"/>
          <w:rFonts w:hint="eastAsia" w:ascii="仿宋_GB2312" w:hAnsi="仿宋_GB2312" w:cs="仿宋_GB2312"/>
          <w:b w:val="0"/>
          <w:bCs/>
          <w:color w:val="auto"/>
          <w:sz w:val="32"/>
          <w:szCs w:val="32"/>
          <w:highlight w:val="none"/>
          <w:lang w:val="en-US" w:eastAsia="zh-CN"/>
        </w:rPr>
        <w:t>80</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eastAsia="仿宋_GB2312" w:cs="仿宋_GB2312"/>
          <w:bCs/>
          <w:color w:val="auto"/>
          <w:sz w:val="32"/>
          <w:szCs w:val="32"/>
          <w:highlight w:val="none"/>
        </w:rPr>
        <w:t>2.一般公共服务支出（类）民主党派及工商联事务（款）行政运行（项）:</w:t>
      </w:r>
      <w:r>
        <w:rPr>
          <w:rStyle w:val="14"/>
          <w:rFonts w:hint="eastAsia" w:ascii="仿宋_GB2312" w:hAnsi="仿宋_GB2312" w:eastAsia="仿宋_GB2312" w:cs="仿宋_GB2312"/>
          <w:b w:val="0"/>
          <w:bCs/>
          <w:color w:val="auto"/>
          <w:sz w:val="32"/>
          <w:szCs w:val="32"/>
          <w:highlight w:val="none"/>
        </w:rPr>
        <w:t xml:space="preserve"> 支出决算为</w:t>
      </w:r>
      <w:r>
        <w:rPr>
          <w:rStyle w:val="14"/>
          <w:rFonts w:hint="eastAsia" w:ascii="仿宋_GB2312" w:hAnsi="仿宋_GB2312" w:cs="仿宋_GB2312"/>
          <w:b w:val="0"/>
          <w:bCs/>
          <w:color w:val="auto"/>
          <w:sz w:val="32"/>
          <w:szCs w:val="32"/>
          <w:highlight w:val="none"/>
          <w:lang w:val="en-US" w:eastAsia="zh-CN"/>
        </w:rPr>
        <w:t>331.62</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eastAsia="仿宋_GB2312" w:cs="仿宋_GB2312"/>
          <w:bCs/>
          <w:color w:val="auto"/>
          <w:sz w:val="32"/>
          <w:szCs w:val="32"/>
          <w:highlight w:val="none"/>
        </w:rPr>
        <w:t>3.一般公共服务支出（类）民主党派及工商联事务（款）一般行政管理事务（项）:</w:t>
      </w:r>
      <w:r>
        <w:rPr>
          <w:rStyle w:val="14"/>
          <w:rFonts w:hint="eastAsia" w:ascii="仿宋_GB2312" w:hAnsi="仿宋_GB2312" w:eastAsia="仿宋_GB2312" w:cs="仿宋_GB2312"/>
          <w:b w:val="0"/>
          <w:bCs/>
          <w:color w:val="auto"/>
          <w:sz w:val="32"/>
          <w:szCs w:val="32"/>
          <w:highlight w:val="none"/>
        </w:rPr>
        <w:t xml:space="preserve"> 支出决算为</w:t>
      </w:r>
      <w:r>
        <w:rPr>
          <w:rStyle w:val="14"/>
          <w:rFonts w:hint="eastAsia" w:ascii="仿宋_GB2312" w:hAnsi="仿宋_GB2312" w:cs="仿宋_GB2312"/>
          <w:b w:val="0"/>
          <w:bCs/>
          <w:color w:val="auto"/>
          <w:sz w:val="32"/>
          <w:szCs w:val="32"/>
          <w:highlight w:val="none"/>
          <w:lang w:val="en-US" w:eastAsia="zh-CN"/>
        </w:rPr>
        <w:t>83.49</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Style w:val="14"/>
          <w:rFonts w:hint="eastAsia" w:ascii="仿宋_GB2312" w:hAnsi="仿宋_GB2312" w:eastAsia="仿宋_GB2312" w:cs="仿宋_GB2312"/>
          <w:b w:val="0"/>
          <w:bCs/>
          <w:color w:val="auto"/>
          <w:sz w:val="32"/>
          <w:szCs w:val="32"/>
          <w:highlight w:val="none"/>
        </w:rPr>
      </w:pPr>
      <w:r>
        <w:rPr>
          <w:rStyle w:val="14"/>
          <w:rFonts w:hint="eastAsia" w:ascii="仿宋_GB2312" w:hAnsi="仿宋_GB2312" w:cs="仿宋_GB2312"/>
          <w:bCs/>
          <w:color w:val="auto"/>
          <w:sz w:val="32"/>
          <w:szCs w:val="32"/>
          <w:highlight w:val="none"/>
          <w:lang w:val="en-US" w:eastAsia="zh-CN"/>
        </w:rPr>
        <w:t>4</w:t>
      </w:r>
      <w:r>
        <w:rPr>
          <w:rStyle w:val="14"/>
          <w:rFonts w:hint="eastAsia" w:ascii="仿宋_GB2312" w:hAnsi="仿宋_GB2312" w:eastAsia="仿宋_GB2312" w:cs="仿宋_GB2312"/>
          <w:bCs/>
          <w:color w:val="auto"/>
          <w:sz w:val="32"/>
          <w:szCs w:val="32"/>
          <w:highlight w:val="none"/>
        </w:rPr>
        <w:t>.社会保障和就业（类）行政事业单位养老支出（款）行政单位离退休（项）:</w:t>
      </w:r>
      <w:r>
        <w:rPr>
          <w:rStyle w:val="14"/>
          <w:rFonts w:hint="eastAsia" w:ascii="仿宋_GB2312" w:hAnsi="仿宋_GB2312" w:eastAsia="仿宋_GB2312" w:cs="仿宋_GB2312"/>
          <w:b w:val="0"/>
          <w:bCs/>
          <w:color w:val="auto"/>
          <w:sz w:val="32"/>
          <w:szCs w:val="32"/>
          <w:highlight w:val="none"/>
        </w:rPr>
        <w:t xml:space="preserve"> 支出决算为</w:t>
      </w:r>
      <w:r>
        <w:rPr>
          <w:rStyle w:val="14"/>
          <w:rFonts w:hint="eastAsia" w:ascii="仿宋_GB2312" w:hAnsi="仿宋_GB2312" w:cs="仿宋_GB2312"/>
          <w:b w:val="0"/>
          <w:bCs/>
          <w:color w:val="auto"/>
          <w:sz w:val="32"/>
          <w:szCs w:val="32"/>
          <w:highlight w:val="none"/>
          <w:lang w:val="en-US" w:eastAsia="zh-CN"/>
        </w:rPr>
        <w:t>64.45</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eastAsia="仿宋_GB2312" w:cs="仿宋_GB2312"/>
          <w:bCs/>
          <w:color w:val="auto"/>
          <w:sz w:val="32"/>
          <w:szCs w:val="32"/>
          <w:highlight w:val="none"/>
        </w:rPr>
        <w:t>5.社会保障和就业（类）行政事业单位养老支出（款）机关事业单位基本养老保险缴费支出（项）:</w:t>
      </w:r>
      <w:r>
        <w:rPr>
          <w:rStyle w:val="14"/>
          <w:rFonts w:hint="eastAsia" w:ascii="仿宋_GB2312" w:hAnsi="仿宋_GB2312" w:eastAsia="仿宋_GB2312" w:cs="仿宋_GB2312"/>
          <w:b w:val="0"/>
          <w:bCs/>
          <w:color w:val="auto"/>
          <w:sz w:val="32"/>
          <w:szCs w:val="32"/>
          <w:highlight w:val="none"/>
        </w:rPr>
        <w:t xml:space="preserve"> 支出决算为</w:t>
      </w:r>
      <w:r>
        <w:rPr>
          <w:rStyle w:val="14"/>
          <w:rFonts w:hint="eastAsia" w:ascii="仿宋_GB2312" w:hAnsi="仿宋_GB2312" w:cs="仿宋_GB2312"/>
          <w:b w:val="0"/>
          <w:bCs/>
          <w:color w:val="auto"/>
          <w:sz w:val="32"/>
          <w:szCs w:val="32"/>
          <w:highlight w:val="none"/>
          <w:lang w:val="en-US" w:eastAsia="zh-CN"/>
        </w:rPr>
        <w:t>37.31</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cs="仿宋_GB2312"/>
          <w:bCs/>
          <w:color w:val="auto"/>
          <w:sz w:val="32"/>
          <w:szCs w:val="32"/>
          <w:highlight w:val="none"/>
          <w:lang w:val="en-US" w:eastAsia="zh-CN"/>
        </w:rPr>
        <w:t>6</w:t>
      </w:r>
      <w:r>
        <w:rPr>
          <w:rStyle w:val="14"/>
          <w:rFonts w:hint="eastAsia" w:ascii="仿宋_GB2312" w:hAnsi="仿宋_GB2312" w:eastAsia="仿宋_GB2312" w:cs="仿宋_GB2312"/>
          <w:bCs/>
          <w:color w:val="auto"/>
          <w:sz w:val="32"/>
          <w:szCs w:val="32"/>
          <w:highlight w:val="none"/>
        </w:rPr>
        <w:t>.社会保障和就业（类）行政事业单位养老支出（款）机关事业单位职业年金缴费支出（项）:</w:t>
      </w:r>
      <w:r>
        <w:rPr>
          <w:rStyle w:val="14"/>
          <w:rFonts w:hint="eastAsia" w:ascii="仿宋_GB2312" w:hAnsi="仿宋_GB2312" w:eastAsia="仿宋_GB2312" w:cs="仿宋_GB2312"/>
          <w:b w:val="0"/>
          <w:bCs/>
          <w:color w:val="auto"/>
          <w:sz w:val="32"/>
          <w:szCs w:val="32"/>
          <w:highlight w:val="none"/>
        </w:rPr>
        <w:t xml:space="preserve"> 支出决算为</w:t>
      </w:r>
      <w:r>
        <w:rPr>
          <w:rStyle w:val="14"/>
          <w:rFonts w:hint="eastAsia" w:ascii="仿宋_GB2312" w:hAnsi="仿宋_GB2312" w:cs="仿宋_GB2312"/>
          <w:b w:val="0"/>
          <w:bCs/>
          <w:color w:val="auto"/>
          <w:sz w:val="32"/>
          <w:szCs w:val="32"/>
          <w:highlight w:val="none"/>
          <w:lang w:val="en-US" w:eastAsia="zh-CN"/>
        </w:rPr>
        <w:t>6.61</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cs="仿宋_GB2312"/>
          <w:bCs/>
          <w:color w:val="auto"/>
          <w:sz w:val="32"/>
          <w:szCs w:val="32"/>
          <w:highlight w:val="none"/>
          <w:lang w:val="en-US" w:eastAsia="zh-CN"/>
        </w:rPr>
        <w:t>7</w:t>
      </w:r>
      <w:r>
        <w:rPr>
          <w:rStyle w:val="14"/>
          <w:rFonts w:hint="eastAsia" w:ascii="仿宋_GB2312" w:hAnsi="仿宋_GB2312" w:eastAsia="仿宋_GB2312" w:cs="仿宋_GB2312"/>
          <w:bCs/>
          <w:color w:val="auto"/>
          <w:sz w:val="32"/>
          <w:szCs w:val="32"/>
          <w:highlight w:val="none"/>
        </w:rPr>
        <w:t>.社会保障和就业（类）抚恤（款）死亡抚恤（项）:</w:t>
      </w:r>
      <w:r>
        <w:rPr>
          <w:rStyle w:val="14"/>
          <w:rFonts w:hint="eastAsia" w:ascii="仿宋_GB2312" w:hAnsi="仿宋_GB2312" w:eastAsia="仿宋_GB2312" w:cs="仿宋_GB2312"/>
          <w:b w:val="0"/>
          <w:bCs/>
          <w:color w:val="auto"/>
          <w:sz w:val="32"/>
          <w:szCs w:val="32"/>
          <w:highlight w:val="none"/>
        </w:rPr>
        <w:t xml:space="preserve"> 支出决算为</w:t>
      </w:r>
      <w:r>
        <w:rPr>
          <w:rStyle w:val="14"/>
          <w:rFonts w:hint="eastAsia" w:ascii="仿宋_GB2312" w:hAnsi="仿宋_GB2312" w:cs="仿宋_GB2312"/>
          <w:b w:val="0"/>
          <w:bCs/>
          <w:color w:val="auto"/>
          <w:sz w:val="32"/>
          <w:szCs w:val="32"/>
          <w:highlight w:val="none"/>
          <w:lang w:val="en-US" w:eastAsia="zh-CN"/>
        </w:rPr>
        <w:t>26.4</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pStyle w:val="2"/>
        <w:rPr>
          <w:rFonts w:hint="eastAsia"/>
        </w:rPr>
      </w:pPr>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cs="仿宋_GB2312"/>
          <w:bCs/>
          <w:color w:val="auto"/>
          <w:sz w:val="32"/>
          <w:szCs w:val="32"/>
          <w:highlight w:val="none"/>
          <w:lang w:val="en-US" w:eastAsia="zh-CN"/>
        </w:rPr>
        <w:t>8</w:t>
      </w:r>
      <w:r>
        <w:rPr>
          <w:rStyle w:val="14"/>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
          <w:bCs/>
          <w:color w:val="auto"/>
          <w:sz w:val="32"/>
          <w:szCs w:val="32"/>
          <w:highlight w:val="none"/>
        </w:rPr>
        <w:t>卫生健康</w:t>
      </w:r>
      <w:r>
        <w:rPr>
          <w:rStyle w:val="14"/>
          <w:rFonts w:hint="eastAsia" w:ascii="仿宋_GB2312" w:hAnsi="仿宋_GB2312" w:eastAsia="仿宋_GB2312" w:cs="仿宋_GB2312"/>
          <w:bCs/>
          <w:color w:val="auto"/>
          <w:sz w:val="32"/>
          <w:szCs w:val="32"/>
          <w:highlight w:val="none"/>
        </w:rPr>
        <w:t>（类）行政事业单位医疗（款）行政单位医疗（项）:</w:t>
      </w:r>
      <w:r>
        <w:rPr>
          <w:rStyle w:val="14"/>
          <w:rFonts w:hint="eastAsia" w:ascii="仿宋_GB2312" w:hAnsi="仿宋_GB2312" w:eastAsia="仿宋_GB2312" w:cs="仿宋_GB2312"/>
          <w:b w:val="0"/>
          <w:bCs/>
          <w:color w:val="auto"/>
          <w:sz w:val="32"/>
          <w:szCs w:val="32"/>
          <w:highlight w:val="none"/>
        </w:rPr>
        <w:t>支出决算为</w:t>
      </w:r>
      <w:r>
        <w:rPr>
          <w:rStyle w:val="14"/>
          <w:rFonts w:hint="eastAsia" w:ascii="仿宋_GB2312" w:hAnsi="仿宋_GB2312" w:cs="仿宋_GB2312"/>
          <w:b w:val="0"/>
          <w:bCs/>
          <w:color w:val="auto"/>
          <w:sz w:val="32"/>
          <w:szCs w:val="32"/>
          <w:highlight w:val="none"/>
          <w:lang w:val="en-US" w:eastAsia="zh-CN"/>
        </w:rPr>
        <w:t>20.1</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Style w:val="14"/>
          <w:rFonts w:hint="eastAsia" w:ascii="仿宋_GB2312" w:hAnsi="仿宋_GB2312" w:eastAsia="仿宋_GB2312" w:cs="仿宋_GB2312"/>
          <w:b w:val="0"/>
          <w:bCs/>
          <w:color w:val="auto"/>
          <w:sz w:val="32"/>
          <w:szCs w:val="32"/>
          <w:highlight w:val="none"/>
        </w:rPr>
      </w:pPr>
      <w:r>
        <w:rPr>
          <w:rStyle w:val="14"/>
          <w:rFonts w:hint="eastAsia" w:ascii="仿宋_GB2312" w:hAnsi="仿宋_GB2312" w:cs="仿宋_GB2312"/>
          <w:bCs/>
          <w:color w:val="auto"/>
          <w:sz w:val="32"/>
          <w:szCs w:val="32"/>
          <w:highlight w:val="none"/>
          <w:lang w:val="en-US" w:eastAsia="zh-CN"/>
        </w:rPr>
        <w:t>9</w:t>
      </w:r>
      <w:r>
        <w:rPr>
          <w:rStyle w:val="14"/>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
          <w:bCs/>
          <w:color w:val="auto"/>
          <w:sz w:val="32"/>
          <w:szCs w:val="32"/>
          <w:highlight w:val="none"/>
        </w:rPr>
        <w:t>卫生健康</w:t>
      </w:r>
      <w:r>
        <w:rPr>
          <w:rStyle w:val="14"/>
          <w:rFonts w:hint="eastAsia" w:ascii="仿宋_GB2312" w:hAnsi="仿宋_GB2312" w:eastAsia="仿宋_GB2312" w:cs="仿宋_GB2312"/>
          <w:bCs/>
          <w:color w:val="auto"/>
          <w:sz w:val="32"/>
          <w:szCs w:val="32"/>
          <w:highlight w:val="none"/>
        </w:rPr>
        <w:t>（类）行政事业单位医疗（款）公务员医疗补助（项）:</w:t>
      </w:r>
      <w:r>
        <w:rPr>
          <w:rStyle w:val="14"/>
          <w:rFonts w:hint="eastAsia" w:ascii="仿宋_GB2312" w:hAnsi="仿宋_GB2312" w:eastAsia="仿宋_GB2312" w:cs="仿宋_GB2312"/>
          <w:b w:val="0"/>
          <w:bCs/>
          <w:color w:val="auto"/>
          <w:sz w:val="32"/>
          <w:szCs w:val="32"/>
          <w:highlight w:val="none"/>
        </w:rPr>
        <w:t>支出决算为</w:t>
      </w:r>
      <w:r>
        <w:rPr>
          <w:rStyle w:val="14"/>
          <w:rFonts w:hint="eastAsia" w:ascii="仿宋_GB2312" w:hAnsi="仿宋_GB2312" w:cs="仿宋_GB2312"/>
          <w:b w:val="0"/>
          <w:bCs/>
          <w:color w:val="auto"/>
          <w:sz w:val="32"/>
          <w:szCs w:val="32"/>
          <w:highlight w:val="none"/>
          <w:lang w:val="en-US" w:eastAsia="zh-CN"/>
        </w:rPr>
        <w:t>5.7</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3" w:firstLineChars="200"/>
        <w:rPr>
          <w:rFonts w:hint="eastAsia" w:ascii="仿宋_GB2312" w:hAnsi="仿宋_GB2312" w:eastAsia="仿宋_GB2312" w:cs="仿宋_GB2312"/>
          <w:b/>
          <w:color w:val="auto"/>
          <w:sz w:val="32"/>
          <w:szCs w:val="32"/>
          <w:highlight w:val="none"/>
        </w:rPr>
      </w:pPr>
      <w:r>
        <w:rPr>
          <w:rStyle w:val="14"/>
          <w:rFonts w:hint="eastAsia" w:ascii="仿宋_GB2312" w:hAnsi="仿宋_GB2312" w:cs="仿宋_GB2312"/>
          <w:bCs/>
          <w:color w:val="auto"/>
          <w:sz w:val="32"/>
          <w:szCs w:val="32"/>
          <w:highlight w:val="none"/>
          <w:lang w:val="en-US" w:eastAsia="zh-CN"/>
        </w:rPr>
        <w:t>10</w:t>
      </w:r>
      <w:r>
        <w:rPr>
          <w:rStyle w:val="14"/>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
          <w:bCs/>
          <w:color w:val="auto"/>
          <w:sz w:val="32"/>
          <w:szCs w:val="32"/>
          <w:highlight w:val="none"/>
        </w:rPr>
        <w:t>住房保障支出</w:t>
      </w:r>
      <w:r>
        <w:rPr>
          <w:rStyle w:val="14"/>
          <w:rFonts w:hint="eastAsia" w:ascii="仿宋_GB2312" w:hAnsi="仿宋_GB2312" w:eastAsia="仿宋_GB2312" w:cs="仿宋_GB2312"/>
          <w:bCs/>
          <w:color w:val="auto"/>
          <w:sz w:val="32"/>
          <w:szCs w:val="32"/>
          <w:highlight w:val="none"/>
        </w:rPr>
        <w:t>（类）住房改革支出（款）住房公积金（项）:</w:t>
      </w:r>
      <w:r>
        <w:rPr>
          <w:rStyle w:val="14"/>
          <w:rFonts w:hint="eastAsia" w:ascii="仿宋_GB2312" w:hAnsi="仿宋_GB2312" w:eastAsia="仿宋_GB2312" w:cs="仿宋_GB2312"/>
          <w:b w:val="0"/>
          <w:bCs/>
          <w:color w:val="auto"/>
          <w:sz w:val="32"/>
          <w:szCs w:val="32"/>
          <w:highlight w:val="none"/>
        </w:rPr>
        <w:t>支出决算为</w:t>
      </w:r>
      <w:r>
        <w:rPr>
          <w:rStyle w:val="14"/>
          <w:rFonts w:hint="eastAsia" w:ascii="仿宋_GB2312" w:hAnsi="仿宋_GB2312" w:cs="仿宋_GB2312"/>
          <w:b w:val="0"/>
          <w:bCs/>
          <w:color w:val="auto"/>
          <w:sz w:val="32"/>
          <w:szCs w:val="32"/>
          <w:highlight w:val="none"/>
          <w:lang w:val="en-US" w:eastAsia="zh-CN"/>
        </w:rPr>
        <w:t>30.36</w:t>
      </w:r>
      <w:r>
        <w:rPr>
          <w:rStyle w:val="14"/>
          <w:rFonts w:hint="eastAsia" w:ascii="仿宋_GB2312" w:hAnsi="仿宋_GB2312" w:eastAsia="仿宋_GB2312" w:cs="仿宋_GB2312"/>
          <w:b w:val="0"/>
          <w:bCs/>
          <w:color w:val="auto"/>
          <w:sz w:val="32"/>
          <w:szCs w:val="32"/>
          <w:highlight w:val="none"/>
        </w:rPr>
        <w:t>万元，完成预算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%，决算数</w:t>
      </w:r>
      <w:r>
        <w:rPr>
          <w:rStyle w:val="14"/>
          <w:rFonts w:hint="eastAsia" w:ascii="仿宋_GB2312" w:hAnsi="仿宋_GB2312" w:cs="仿宋_GB2312"/>
          <w:b w:val="0"/>
          <w:bCs/>
          <w:color w:val="auto"/>
          <w:sz w:val="32"/>
          <w:szCs w:val="32"/>
          <w:highlight w:val="none"/>
          <w:lang w:eastAsia="zh-CN"/>
        </w:rPr>
        <w:t>与</w:t>
      </w:r>
      <w:r>
        <w:rPr>
          <w:rStyle w:val="14"/>
          <w:rFonts w:hint="eastAsia" w:ascii="仿宋_GB2312" w:hAnsi="仿宋_GB2312" w:eastAsia="仿宋_GB2312" w:cs="仿宋_GB2312"/>
          <w:b w:val="0"/>
          <w:bCs/>
          <w:color w:val="auto"/>
          <w:sz w:val="32"/>
          <w:szCs w:val="32"/>
          <w:highlight w:val="none"/>
        </w:rPr>
        <w:t>预算数</w:t>
      </w:r>
      <w:r>
        <w:rPr>
          <w:rStyle w:val="14"/>
          <w:rFonts w:hint="eastAsia" w:ascii="仿宋_GB2312" w:hAnsi="仿宋_GB2312" w:cs="仿宋_GB2312"/>
          <w:b w:val="0"/>
          <w:bCs/>
          <w:color w:val="auto"/>
          <w:sz w:val="32"/>
          <w:szCs w:val="32"/>
          <w:highlight w:val="none"/>
          <w:lang w:eastAsia="zh-CN"/>
        </w:rPr>
        <w:t>持平</w:t>
      </w:r>
      <w:r>
        <w:rPr>
          <w:rStyle w:val="14"/>
          <w:rFonts w:hint="eastAsia" w:ascii="仿宋_GB2312" w:hAnsi="仿宋_GB2312" w:eastAsia="仿宋_GB2312" w:cs="仿宋_GB2312"/>
          <w:b w:val="0"/>
          <w:bCs/>
          <w:color w:val="auto"/>
          <w:sz w:val="32"/>
          <w:szCs w:val="32"/>
          <w:highlight w:val="none"/>
        </w:rPr>
        <w:t>。</w:t>
      </w:r>
    </w:p>
    <w:p>
      <w:pPr>
        <w:spacing w:line="600" w:lineRule="exact"/>
        <w:ind w:firstLine="640" w:firstLineChars="200"/>
        <w:rPr>
          <w:rFonts w:ascii="仿宋" w:hAnsi="仿宋" w:eastAsia="仿宋"/>
          <w:color w:val="000000"/>
          <w:sz w:val="32"/>
          <w:szCs w:val="32"/>
        </w:rPr>
      </w:pPr>
    </w:p>
    <w:p>
      <w:pPr>
        <w:tabs>
          <w:tab w:val="right" w:pos="8306"/>
        </w:tabs>
        <w:spacing w:line="600" w:lineRule="exact"/>
        <w:ind w:firstLine="640"/>
        <w:outlineLvl w:val="1"/>
        <w:rPr>
          <w:rStyle w:val="17"/>
        </w:rPr>
      </w:pPr>
      <w:bookmarkStart w:id="33" w:name="_Toc30529"/>
      <w:bookmarkStart w:id="34" w:name="_Toc15377214"/>
      <w:bookmarkStart w:id="35" w:name="_Toc693483090"/>
      <w:bookmarkStart w:id="36"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33"/>
      <w:bookmarkEnd w:id="34"/>
      <w:bookmarkEnd w:id="35"/>
      <w:bookmarkEnd w:id="36"/>
      <w:r>
        <w:rPr>
          <w:rStyle w:val="17"/>
          <w:rFonts w:ascii="黑体" w:hAnsi="黑体" w:eastAsia="黑体"/>
          <w:b w:val="0"/>
        </w:rPr>
        <w:tab/>
      </w:r>
    </w:p>
    <w:p>
      <w:pPr>
        <w:spacing w:line="600" w:lineRule="exact"/>
        <w:ind w:firstLine="645"/>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一般公共预算财政拨款基本支出</w:t>
      </w:r>
      <w:r>
        <w:rPr>
          <w:rFonts w:hint="eastAsia" w:ascii="仿宋_GB2312" w:hAnsi="仿宋_GB2312" w:cs="仿宋_GB2312"/>
          <w:color w:val="auto"/>
          <w:sz w:val="32"/>
          <w:szCs w:val="32"/>
          <w:highlight w:val="none"/>
          <w:lang w:val="en-US" w:eastAsia="zh-CN"/>
        </w:rPr>
        <w:t>522.54</w:t>
      </w:r>
      <w:r>
        <w:rPr>
          <w:rFonts w:hint="eastAsia" w:ascii="仿宋_GB2312" w:hAnsi="仿宋_GB2312" w:eastAsia="仿宋_GB2312" w:cs="仿宋_GB2312"/>
          <w:color w:val="auto"/>
          <w:sz w:val="32"/>
          <w:szCs w:val="32"/>
          <w:highlight w:val="none"/>
        </w:rPr>
        <w:t>万元，其中：</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highlight w:val="none"/>
        </w:rPr>
        <w:t>人员经费</w:t>
      </w:r>
      <w:r>
        <w:rPr>
          <w:rFonts w:hint="eastAsia" w:ascii="仿宋_GB2312" w:hAnsi="仿宋_GB2312" w:cs="仿宋_GB2312"/>
          <w:color w:val="auto"/>
          <w:sz w:val="32"/>
          <w:szCs w:val="32"/>
          <w:highlight w:val="none"/>
          <w:lang w:val="en-US" w:eastAsia="zh-CN"/>
        </w:rPr>
        <w:t>451.57</w:t>
      </w:r>
      <w:r>
        <w:rPr>
          <w:rFonts w:hint="eastAsia" w:ascii="仿宋_GB2312" w:hAnsi="仿宋_GB2312" w:eastAsia="仿宋_GB2312" w:cs="仿宋_GB2312"/>
          <w:color w:val="auto"/>
          <w:sz w:val="32"/>
          <w:szCs w:val="32"/>
          <w:highlight w:val="none"/>
        </w:rPr>
        <w:t>万元，主要包括：基本工资、津贴补贴、奖金、机关事业单位基本养老保险缴费、职业年金缴费、职工基本医疗保险缴费</w:t>
      </w:r>
      <w:r>
        <w:rPr>
          <w:rFonts w:hint="eastAsia" w:ascii="仿宋_GB2312" w:hAnsi="仿宋_GB2312" w:cs="仿宋_GB2312"/>
          <w:color w:val="auto"/>
          <w:sz w:val="32"/>
          <w:szCs w:val="32"/>
          <w:highlight w:val="none"/>
          <w:lang w:eastAsia="zh-CN"/>
        </w:rPr>
        <w:t>、公务员医疗补助缴费、</w:t>
      </w:r>
      <w:r>
        <w:rPr>
          <w:rFonts w:hint="eastAsia" w:ascii="仿宋_GB2312" w:hAnsi="仿宋_GB2312" w:eastAsia="仿宋_GB2312" w:cs="仿宋_GB2312"/>
          <w:color w:val="auto"/>
          <w:sz w:val="32"/>
          <w:szCs w:val="32"/>
          <w:highlight w:val="none"/>
        </w:rPr>
        <w:t>其他工资福利支出、抚恤金、住房公积金、其他对个人和家庭的补助支出等。</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rPr>
        <w:t>　　公用经费</w:t>
      </w:r>
      <w:r>
        <w:rPr>
          <w:rFonts w:hint="eastAsia" w:ascii="仿宋_GB2312" w:hAnsi="仿宋_GB2312" w:cs="仿宋_GB2312"/>
          <w:color w:val="auto"/>
          <w:sz w:val="32"/>
          <w:szCs w:val="32"/>
          <w:highlight w:val="none"/>
          <w:lang w:val="en-US" w:eastAsia="zh-CN"/>
        </w:rPr>
        <w:t>70.97</w:t>
      </w:r>
      <w:r>
        <w:rPr>
          <w:rFonts w:hint="eastAsia" w:ascii="仿宋_GB2312" w:hAnsi="仿宋_GB2312" w:eastAsia="仿宋_GB2312" w:cs="仿宋_GB2312"/>
          <w:color w:val="auto"/>
          <w:sz w:val="32"/>
          <w:szCs w:val="32"/>
          <w:highlight w:val="none"/>
        </w:rPr>
        <w:t>万元，主要包括：办公费、印刷费、咨询费、邮电费、差旅费、租赁费、会议费、培训费、公务接待费、劳务费、委托业务费、工会经费、福利费、公务用车运行维护费、其他交通费、其他商品和服务支出等。</w:t>
      </w:r>
    </w:p>
    <w:p>
      <w:pPr>
        <w:spacing w:line="600" w:lineRule="exact"/>
        <w:ind w:firstLine="640"/>
        <w:outlineLvl w:val="1"/>
        <w:rPr>
          <w:rStyle w:val="17"/>
          <w:rFonts w:ascii="黑体" w:hAnsi="黑体" w:eastAsia="黑体"/>
          <w:b w:val="0"/>
        </w:rPr>
      </w:pPr>
      <w:bookmarkStart w:id="37" w:name="_Toc98"/>
      <w:bookmarkStart w:id="38" w:name="_Toc15377215"/>
      <w:bookmarkStart w:id="39" w:name="_Toc15396609"/>
      <w:bookmarkStart w:id="40" w:name="_Toc2084050475"/>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37"/>
      <w:bookmarkEnd w:id="38"/>
      <w:bookmarkEnd w:id="39"/>
      <w:bookmarkEnd w:id="40"/>
    </w:p>
    <w:p>
      <w:pPr>
        <w:spacing w:line="600" w:lineRule="exact"/>
        <w:ind w:firstLine="640"/>
        <w:outlineLvl w:val="2"/>
        <w:rPr>
          <w:rFonts w:hint="eastAsia" w:ascii="仿宋_GB2312" w:hAnsi="仿宋_GB2312" w:eastAsia="仿宋_GB2312" w:cs="仿宋_GB2312"/>
          <w:b/>
          <w:color w:val="000000"/>
          <w:sz w:val="32"/>
          <w:szCs w:val="32"/>
        </w:rPr>
      </w:pPr>
      <w:bookmarkStart w:id="41" w:name="_Toc15377216"/>
      <w:r>
        <w:rPr>
          <w:rFonts w:hint="eastAsia" w:ascii="仿宋_GB2312" w:hAnsi="仿宋_GB2312" w:eastAsia="仿宋_GB2312" w:cs="仿宋_GB2312"/>
          <w:b/>
          <w:color w:val="000000"/>
          <w:sz w:val="32"/>
          <w:szCs w:val="32"/>
        </w:rPr>
        <w:t>（一）“三公”经费财政拨款支出决算总体情况说明</w:t>
      </w:r>
      <w:bookmarkEnd w:id="41"/>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“三公”经费财政拨款支出决算为</w:t>
      </w:r>
      <w:r>
        <w:rPr>
          <w:rFonts w:hint="eastAsia" w:ascii="仿宋_GB2312" w:hAnsi="仿宋_GB2312" w:cs="仿宋_GB2312"/>
          <w:color w:val="auto"/>
          <w:sz w:val="32"/>
          <w:szCs w:val="32"/>
          <w:highlight w:val="none"/>
          <w:lang w:val="en-US" w:eastAsia="zh-CN"/>
        </w:rPr>
        <w:t>2.92</w:t>
      </w:r>
      <w:r>
        <w:rPr>
          <w:rFonts w:hint="eastAsia" w:ascii="仿宋_GB2312" w:hAnsi="仿宋_GB2312" w:eastAsia="仿宋_GB2312" w:cs="仿宋_GB2312"/>
          <w:color w:val="auto"/>
          <w:sz w:val="32"/>
          <w:szCs w:val="32"/>
          <w:highlight w:val="none"/>
        </w:rPr>
        <w:t>万元，完成预算</w:t>
      </w:r>
      <w:r>
        <w:rPr>
          <w:rFonts w:hint="eastAsia" w:ascii="仿宋_GB2312" w:hAnsi="仿宋_GB2312" w:cs="仿宋_GB2312"/>
          <w:color w:val="auto"/>
          <w:sz w:val="32"/>
          <w:szCs w:val="32"/>
          <w:highlight w:val="none"/>
          <w:lang w:val="en-US" w:eastAsia="zh-CN"/>
        </w:rPr>
        <w:t>100.00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较上年增加</w:t>
      </w:r>
      <w:r>
        <w:rPr>
          <w:rFonts w:hint="eastAsia" w:ascii="仿宋_GB2312" w:hAnsi="仿宋_GB2312" w:cs="仿宋_GB2312"/>
          <w:color w:val="auto"/>
          <w:sz w:val="32"/>
          <w:szCs w:val="32"/>
          <w:highlight w:val="none"/>
          <w:lang w:val="en-US" w:eastAsia="zh-CN"/>
        </w:rPr>
        <w:t>0.31</w:t>
      </w:r>
      <w:r>
        <w:rPr>
          <w:rFonts w:hint="eastAsia" w:ascii="仿宋_GB2312" w:hAnsi="仿宋_GB2312" w:eastAsia="仿宋_GB2312" w:cs="仿宋_GB2312"/>
          <w:color w:val="auto"/>
          <w:sz w:val="32"/>
          <w:szCs w:val="32"/>
          <w:highlight w:val="none"/>
          <w:lang w:val="en-US" w:eastAsia="zh-CN"/>
        </w:rPr>
        <w:t>万元，增长</w:t>
      </w:r>
      <w:r>
        <w:rPr>
          <w:rFonts w:hint="eastAsia" w:ascii="仿宋_GB2312" w:hAnsi="仿宋_GB2312" w:cs="仿宋_GB2312"/>
          <w:color w:val="auto"/>
          <w:sz w:val="32"/>
          <w:szCs w:val="32"/>
          <w:highlight w:val="none"/>
          <w:lang w:val="en-US" w:eastAsia="zh-CN"/>
        </w:rPr>
        <w:t>11.88</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决算数</w:t>
      </w:r>
      <w:r>
        <w:rPr>
          <w:rFonts w:hint="eastAsia" w:ascii="仿宋_GB2312" w:hAnsi="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rPr>
        <w:t>预算数</w:t>
      </w:r>
      <w:r>
        <w:rPr>
          <w:rFonts w:hint="eastAsia" w:ascii="仿宋_GB2312" w:hAnsi="仿宋_GB2312" w:cs="仿宋_GB2312"/>
          <w:color w:val="auto"/>
          <w:sz w:val="32"/>
          <w:szCs w:val="32"/>
          <w:highlight w:val="none"/>
          <w:lang w:eastAsia="zh-CN"/>
        </w:rPr>
        <w:t>持平，增长</w:t>
      </w:r>
      <w:r>
        <w:rPr>
          <w:rFonts w:hint="eastAsia" w:ascii="仿宋_GB2312" w:hAnsi="仿宋_GB2312" w:eastAsia="仿宋_GB2312" w:cs="仿宋_GB2312"/>
          <w:color w:val="auto"/>
          <w:sz w:val="32"/>
          <w:szCs w:val="32"/>
          <w:highlight w:val="none"/>
        </w:rPr>
        <w:t>的主要原因是</w:t>
      </w:r>
      <w:r>
        <w:rPr>
          <w:rFonts w:hint="eastAsia" w:ascii="仿宋_GB2312" w:hAnsi="仿宋_GB2312" w:cs="仿宋_GB2312"/>
          <w:color w:val="auto"/>
          <w:sz w:val="32"/>
          <w:szCs w:val="32"/>
          <w:highlight w:val="none"/>
          <w:lang w:val="en-US" w:eastAsia="zh-CN"/>
        </w:rPr>
        <w:t>疫情结束，增加公务接待费用</w:t>
      </w:r>
      <w:r>
        <w:rPr>
          <w:rFonts w:hint="eastAsia" w:ascii="仿宋_GB2312" w:hAnsi="仿宋_GB2312" w:eastAsia="仿宋_GB2312" w:cs="仿宋_GB2312"/>
          <w:color w:val="auto"/>
          <w:sz w:val="32"/>
          <w:szCs w:val="32"/>
          <w:highlight w:val="none"/>
        </w:rPr>
        <w:t>。</w:t>
      </w:r>
    </w:p>
    <w:p>
      <w:pPr>
        <w:spacing w:line="600" w:lineRule="exact"/>
        <w:ind w:firstLine="640"/>
        <w:outlineLvl w:val="2"/>
        <w:rPr>
          <w:rFonts w:hint="eastAsia" w:ascii="仿宋_GB2312" w:hAnsi="仿宋_GB2312" w:eastAsia="仿宋_GB2312" w:cs="仿宋_GB2312"/>
          <w:b/>
          <w:color w:val="000000"/>
          <w:sz w:val="32"/>
          <w:szCs w:val="32"/>
        </w:rPr>
      </w:pPr>
      <w:bookmarkStart w:id="42" w:name="_Toc15377217"/>
      <w:r>
        <w:rPr>
          <w:rFonts w:hint="eastAsia" w:ascii="仿宋_GB2312" w:hAnsi="仿宋_GB2312" w:eastAsia="仿宋_GB2312" w:cs="仿宋_GB2312"/>
          <w:b/>
          <w:color w:val="000000"/>
          <w:sz w:val="32"/>
          <w:szCs w:val="32"/>
        </w:rPr>
        <w:t>（二）“三公”经费财政拨款支出决算具体情况说明</w:t>
      </w:r>
      <w:bookmarkEnd w:id="42"/>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“三公”经费财政拨款支出决算中，因公出国（境）费支出决算</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100.00</w:t>
      </w:r>
      <w:r>
        <w:rPr>
          <w:rFonts w:hint="eastAsia" w:ascii="仿宋_GB2312" w:hAnsi="仿宋_GB2312" w:eastAsia="仿宋_GB2312" w:cs="仿宋_GB2312"/>
          <w:color w:val="auto"/>
          <w:sz w:val="32"/>
          <w:szCs w:val="32"/>
          <w:highlight w:val="none"/>
        </w:rPr>
        <w:t>%；公务用车购置及运行维护费支出决算</w:t>
      </w:r>
      <w:r>
        <w:rPr>
          <w:rFonts w:hint="eastAsia" w:ascii="仿宋_GB2312" w:hAnsi="仿宋_GB2312" w:cs="仿宋_GB2312"/>
          <w:color w:val="auto"/>
          <w:sz w:val="32"/>
          <w:szCs w:val="32"/>
          <w:highlight w:val="none"/>
          <w:lang w:val="en-US" w:eastAsia="zh-CN"/>
        </w:rPr>
        <w:t>0.52</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17.81</w:t>
      </w:r>
      <w:r>
        <w:rPr>
          <w:rFonts w:hint="eastAsia" w:ascii="仿宋_GB2312" w:hAnsi="仿宋_GB2312" w:eastAsia="仿宋_GB2312" w:cs="仿宋_GB2312"/>
          <w:color w:val="auto"/>
          <w:sz w:val="32"/>
          <w:szCs w:val="32"/>
          <w:highlight w:val="none"/>
        </w:rPr>
        <w:t>%；公务接待费支出决算</w:t>
      </w:r>
      <w:r>
        <w:rPr>
          <w:rFonts w:hint="eastAsia" w:ascii="仿宋_GB2312" w:hAnsi="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82.19</w:t>
      </w:r>
      <w:r>
        <w:rPr>
          <w:rFonts w:hint="eastAsia" w:ascii="仿宋_GB2312" w:hAnsi="仿宋_GB2312" w:eastAsia="仿宋_GB2312" w:cs="仿宋_GB2312"/>
          <w:color w:val="auto"/>
          <w:sz w:val="32"/>
          <w:szCs w:val="32"/>
          <w:highlight w:val="none"/>
        </w:rPr>
        <w:t>%。具体情况如下：</w:t>
      </w:r>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（图7：“三公”经费财政拨款支出结构）</w:t>
      </w:r>
    </w:p>
    <w:p>
      <w:pPr>
        <w:pStyle w:val="2"/>
        <w:jc w:val="center"/>
        <w:rPr>
          <w:rFonts w:hint="eastAsia"/>
        </w:rPr>
      </w:pPr>
      <w:r>
        <w:drawing>
          <wp:inline distT="0" distB="0" distL="114300" distR="114300">
            <wp:extent cx="4572000" cy="2660650"/>
            <wp:effectExtent l="4445" t="4445" r="14605" b="20955"/>
            <wp:docPr id="14"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1.因公出国（境）经费支出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Style w:val="14"/>
          <w:rFonts w:hint="eastAsia" w:ascii="仿宋_GB2312" w:hAnsi="仿宋_GB2312" w:eastAsia="仿宋_GB2312" w:cs="仿宋_GB2312"/>
          <w:b w:val="0"/>
          <w:bCs/>
          <w:color w:val="auto"/>
          <w:sz w:val="32"/>
          <w:szCs w:val="32"/>
          <w:highlight w:val="none"/>
        </w:rPr>
        <w:t>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全年安排因公出国（境）团组</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次，出国（境）</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人。因公出国（境）支出决算</w:t>
      </w:r>
      <w:r>
        <w:rPr>
          <w:rFonts w:hint="eastAsia" w:ascii="仿宋_GB2312" w:hAnsi="仿宋_GB2312" w:cs="仿宋_GB2312"/>
          <w:color w:val="auto"/>
          <w:sz w:val="32"/>
          <w:szCs w:val="32"/>
          <w:highlight w:val="none"/>
          <w:lang w:eastAsia="zh-CN"/>
        </w:rPr>
        <w:t>与2022年持平</w:t>
      </w:r>
      <w:r>
        <w:rPr>
          <w:rFonts w:hint="eastAsia" w:ascii="仿宋_GB2312" w:hAnsi="仿宋_GB2312" w:eastAsia="仿宋_GB2312" w:cs="仿宋_GB2312"/>
          <w:color w:val="auto"/>
          <w:sz w:val="32"/>
          <w:szCs w:val="32"/>
          <w:highlight w:val="none"/>
        </w:rPr>
        <w:t>。</w:t>
      </w:r>
    </w:p>
    <w:p>
      <w:pPr>
        <w:spacing w:line="600" w:lineRule="exact"/>
        <w:ind w:firstLine="64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2.公务用车购置及运行维护费支出</w:t>
      </w:r>
      <w:r>
        <w:rPr>
          <w:rFonts w:hint="eastAsia" w:ascii="仿宋_GB2312" w:hAnsi="仿宋_GB2312" w:cs="仿宋_GB2312"/>
          <w:color w:val="auto"/>
          <w:sz w:val="32"/>
          <w:szCs w:val="32"/>
          <w:highlight w:val="none"/>
          <w:lang w:val="en-US" w:eastAsia="zh-CN"/>
        </w:rPr>
        <w:t>0.52</w:t>
      </w:r>
      <w:r>
        <w:rPr>
          <w:rFonts w:hint="eastAsia" w:ascii="仿宋_GB2312" w:hAnsi="仿宋_GB2312" w:eastAsia="仿宋_GB2312" w:cs="仿宋_GB2312"/>
          <w:color w:val="auto"/>
          <w:sz w:val="32"/>
          <w:szCs w:val="32"/>
          <w:highlight w:val="none"/>
        </w:rPr>
        <w:t>万元,</w:t>
      </w:r>
      <w:r>
        <w:rPr>
          <w:rStyle w:val="14"/>
          <w:rFonts w:hint="eastAsia" w:ascii="仿宋_GB2312" w:hAnsi="仿宋_GB2312" w:eastAsia="仿宋_GB2312" w:cs="仿宋_GB2312"/>
          <w:b w:val="0"/>
          <w:bCs/>
          <w:color w:val="auto"/>
          <w:sz w:val="32"/>
          <w:szCs w:val="32"/>
          <w:highlight w:val="none"/>
        </w:rPr>
        <w:t>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公务用车购置及运行维护费支出决算比</w:t>
      </w:r>
      <w:r>
        <w:rPr>
          <w:rFonts w:hint="eastAsia" w:ascii="仿宋_GB2312" w:hAnsi="仿宋_GB2312" w:cs="仿宋_GB2312"/>
          <w:color w:val="auto"/>
          <w:sz w:val="32"/>
          <w:szCs w:val="32"/>
          <w:highlight w:val="none"/>
          <w:lang w:eastAsia="zh-CN"/>
        </w:rPr>
        <w:t>2022年</w:t>
      </w:r>
      <w:r>
        <w:rPr>
          <w:rFonts w:hint="eastAsia" w:ascii="仿宋_GB2312" w:hAnsi="仿宋_GB2312" w:eastAsia="仿宋_GB2312" w:cs="仿宋_GB2312"/>
          <w:color w:val="auto"/>
          <w:sz w:val="32"/>
          <w:szCs w:val="32"/>
          <w:highlight w:val="none"/>
        </w:rPr>
        <w:t>减少</w:t>
      </w:r>
      <w:r>
        <w:rPr>
          <w:rFonts w:hint="eastAsia" w:ascii="仿宋_GB2312" w:hAnsi="仿宋_GB2312" w:cs="仿宋_GB2312"/>
          <w:color w:val="auto"/>
          <w:sz w:val="32"/>
          <w:szCs w:val="32"/>
          <w:highlight w:val="none"/>
          <w:lang w:val="en-US" w:eastAsia="zh-CN"/>
        </w:rPr>
        <w:t>0.66</w:t>
      </w:r>
      <w:r>
        <w:rPr>
          <w:rFonts w:hint="eastAsia" w:ascii="仿宋_GB2312" w:hAnsi="仿宋_GB2312" w:eastAsia="仿宋_GB2312" w:cs="仿宋_GB2312"/>
          <w:color w:val="auto"/>
          <w:sz w:val="32"/>
          <w:szCs w:val="32"/>
          <w:highlight w:val="none"/>
        </w:rPr>
        <w:t>万元，下降</w:t>
      </w:r>
      <w:r>
        <w:rPr>
          <w:rFonts w:hint="eastAsia" w:ascii="仿宋_GB2312" w:hAnsi="仿宋_GB2312" w:cs="仿宋_GB2312"/>
          <w:color w:val="auto"/>
          <w:sz w:val="32"/>
          <w:szCs w:val="32"/>
          <w:highlight w:val="none"/>
          <w:lang w:val="en-US" w:eastAsia="zh-CN"/>
        </w:rPr>
        <w:t>55.93</w:t>
      </w:r>
      <w:r>
        <w:rPr>
          <w:rFonts w:hint="eastAsia" w:ascii="仿宋_GB2312" w:hAnsi="仿宋_GB2312" w:eastAsia="仿宋_GB2312" w:cs="仿宋_GB2312"/>
          <w:color w:val="auto"/>
          <w:sz w:val="32"/>
          <w:szCs w:val="32"/>
          <w:highlight w:val="none"/>
        </w:rPr>
        <w:t>%。主要原因是</w:t>
      </w:r>
      <w:r>
        <w:rPr>
          <w:rFonts w:hint="eastAsia" w:ascii="仿宋_GB2312"/>
          <w:sz w:val="32"/>
          <w:szCs w:val="32"/>
          <w:lang w:val="en-US" w:eastAsia="zh-CN"/>
        </w:rPr>
        <w:t>公务用车已到报废年限，运行维护费用减少</w:t>
      </w:r>
      <w:r>
        <w:rPr>
          <w:rFonts w:hint="eastAsia" w:ascii="仿宋_GB2312" w:hAnsi="仿宋_GB2312" w:eastAsia="仿宋_GB2312" w:cs="仿宋_GB2312"/>
          <w:color w:val="auto"/>
          <w:sz w:val="32"/>
          <w:szCs w:val="32"/>
          <w:highlight w:val="none"/>
        </w:rPr>
        <w:t>。</w:t>
      </w:r>
    </w:p>
    <w:p>
      <w:pPr>
        <w:spacing w:line="600" w:lineRule="exact"/>
        <w:ind w:firstLine="64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其中：</w:t>
      </w:r>
      <w:r>
        <w:rPr>
          <w:rFonts w:hint="eastAsia" w:ascii="仿宋_GB2312" w:hAnsi="仿宋_GB2312" w:eastAsia="仿宋_GB2312" w:cs="仿宋_GB2312"/>
          <w:b/>
          <w:color w:val="auto"/>
          <w:sz w:val="32"/>
          <w:szCs w:val="32"/>
          <w:highlight w:val="none"/>
        </w:rPr>
        <w:t>公务用车购置支出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万元。全年按规定更新购置公务用车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辆，其中：轿车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辆、金额</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万元，越野车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辆、金额</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万元，载客汽车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辆、金额</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万元。截至</w:t>
      </w: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12月底，</w:t>
      </w:r>
      <w:r>
        <w:rPr>
          <w:rFonts w:hint="eastAsia" w:ascii="仿宋_GB2312" w:hAnsi="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共有公务用车</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辆，其中：轿车</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辆、越野车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辆、载客汽车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w:t>
      </w:r>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公务用车运行维护费支出</w:t>
      </w:r>
      <w:r>
        <w:rPr>
          <w:rFonts w:hint="eastAsia" w:ascii="仿宋_GB2312" w:hAnsi="仿宋_GB2312" w:cs="仿宋_GB2312"/>
          <w:color w:val="auto"/>
          <w:sz w:val="32"/>
          <w:szCs w:val="32"/>
          <w:highlight w:val="none"/>
          <w:lang w:val="en-US" w:eastAsia="zh-CN"/>
        </w:rPr>
        <w:t>0.52</w:t>
      </w:r>
      <w:r>
        <w:rPr>
          <w:rFonts w:hint="eastAsia" w:ascii="仿宋_GB2312" w:hAnsi="仿宋_GB2312" w:eastAsia="仿宋_GB2312" w:cs="仿宋_GB2312"/>
          <w:color w:val="auto"/>
          <w:sz w:val="32"/>
          <w:szCs w:val="32"/>
          <w:highlight w:val="none"/>
        </w:rPr>
        <w:t>万元。主要用于工作等所需的公务用车燃料费、维修费、过路过桥费、保险费等支出。</w:t>
      </w:r>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3.公务接待费支出</w:t>
      </w:r>
      <w:r>
        <w:rPr>
          <w:rFonts w:hint="eastAsia" w:ascii="仿宋_GB2312" w:hAnsi="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万元，</w:t>
      </w:r>
      <w:r>
        <w:rPr>
          <w:rStyle w:val="14"/>
          <w:rFonts w:hint="eastAsia" w:ascii="仿宋_GB2312" w:hAnsi="仿宋_GB2312" w:eastAsia="仿宋_GB2312" w:cs="仿宋_GB2312"/>
          <w:b w:val="0"/>
          <w:bCs/>
          <w:color w:val="auto"/>
          <w:sz w:val="32"/>
          <w:szCs w:val="32"/>
          <w:highlight w:val="none"/>
        </w:rPr>
        <w:t>完成预算</w:t>
      </w:r>
      <w:r>
        <w:rPr>
          <w:rStyle w:val="14"/>
          <w:rFonts w:hint="eastAsia" w:ascii="仿宋_GB2312" w:hAnsi="仿宋_GB2312" w:cs="仿宋_GB2312"/>
          <w:b w:val="0"/>
          <w:bCs/>
          <w:color w:val="auto"/>
          <w:sz w:val="32"/>
          <w:szCs w:val="32"/>
          <w:highlight w:val="none"/>
          <w:lang w:val="en-US" w:eastAsia="zh-CN"/>
        </w:rPr>
        <w:t>100.00</w:t>
      </w:r>
      <w:r>
        <w:rPr>
          <w:rStyle w:val="14"/>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公务接待费支出决算比</w:t>
      </w:r>
      <w:r>
        <w:rPr>
          <w:rFonts w:hint="eastAsia" w:ascii="仿宋_GB2312" w:hAnsi="仿宋_GB2312" w:cs="仿宋_GB2312"/>
          <w:color w:val="auto"/>
          <w:sz w:val="32"/>
          <w:szCs w:val="32"/>
          <w:highlight w:val="none"/>
          <w:lang w:eastAsia="zh-CN"/>
        </w:rPr>
        <w:t>2022年</w:t>
      </w:r>
      <w:r>
        <w:rPr>
          <w:rFonts w:hint="eastAsia" w:ascii="仿宋_GB2312" w:hAnsi="仿宋_GB2312" w:eastAsia="仿宋_GB2312" w:cs="仿宋_GB2312"/>
          <w:color w:val="auto"/>
          <w:sz w:val="32"/>
          <w:szCs w:val="32"/>
          <w:highlight w:val="none"/>
        </w:rPr>
        <w:t>增加</w:t>
      </w:r>
      <w:r>
        <w:rPr>
          <w:rFonts w:hint="eastAsia" w:ascii="仿宋_GB2312" w:hAnsi="仿宋_GB2312" w:cs="仿宋_GB2312"/>
          <w:color w:val="auto"/>
          <w:sz w:val="32"/>
          <w:szCs w:val="32"/>
          <w:highlight w:val="none"/>
          <w:lang w:val="en-US" w:eastAsia="zh-CN"/>
        </w:rPr>
        <w:t>0.97</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67.83</w:t>
      </w:r>
      <w:r>
        <w:rPr>
          <w:rFonts w:hint="eastAsia" w:ascii="仿宋_GB2312" w:hAnsi="仿宋_GB2312" w:eastAsia="仿宋_GB2312" w:cs="仿宋_GB2312"/>
          <w:color w:val="auto"/>
          <w:sz w:val="32"/>
          <w:szCs w:val="32"/>
          <w:highlight w:val="none"/>
        </w:rPr>
        <w:t>%。主要原因是</w:t>
      </w:r>
      <w:r>
        <w:rPr>
          <w:rFonts w:hint="eastAsia" w:ascii="仿宋_GB2312" w:hAnsi="仿宋_GB2312" w:cs="仿宋_GB2312"/>
          <w:color w:val="auto"/>
          <w:sz w:val="32"/>
          <w:szCs w:val="32"/>
          <w:highlight w:val="none"/>
          <w:lang w:eastAsia="zh-CN"/>
        </w:rPr>
        <w:t>疫情结束，增加公务接待费用</w:t>
      </w:r>
      <w:r>
        <w:rPr>
          <w:rFonts w:hint="eastAsia" w:ascii="仿宋_GB2312" w:hAnsi="仿宋_GB2312" w:eastAsia="仿宋_GB2312" w:cs="仿宋_GB2312"/>
          <w:color w:val="auto"/>
          <w:sz w:val="32"/>
          <w:szCs w:val="32"/>
          <w:highlight w:val="none"/>
        </w:rPr>
        <w:t>。其中：</w:t>
      </w:r>
    </w:p>
    <w:p>
      <w:pPr>
        <w:spacing w:line="600" w:lineRule="exact"/>
        <w:ind w:firstLine="640"/>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b/>
          <w:color w:val="auto"/>
          <w:sz w:val="32"/>
          <w:szCs w:val="32"/>
          <w:highlight w:val="none"/>
        </w:rPr>
        <w:t>国内公务接待支出</w:t>
      </w:r>
      <w:r>
        <w:rPr>
          <w:rFonts w:hint="eastAsia" w:ascii="仿宋_GB2312" w:hAnsi="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万元，主要用于执行公务、开展业务活动开支的交通费、住宿费、用餐费等。国内公务接待</w:t>
      </w:r>
      <w:r>
        <w:rPr>
          <w:rFonts w:hint="eastAsia" w:ascii="仿宋_GB2312" w:hAnsi="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批次，</w:t>
      </w:r>
      <w:r>
        <w:rPr>
          <w:rFonts w:hint="eastAsia" w:ascii="仿宋_GB2312" w:hAnsi="仿宋_GB2312" w:cs="仿宋_GB2312"/>
          <w:color w:val="auto"/>
          <w:sz w:val="32"/>
          <w:szCs w:val="32"/>
          <w:highlight w:val="none"/>
          <w:lang w:val="en-US" w:eastAsia="zh-CN"/>
        </w:rPr>
        <w:t>102</w:t>
      </w:r>
      <w:r>
        <w:rPr>
          <w:rFonts w:hint="eastAsia" w:ascii="仿宋_GB2312" w:hAnsi="仿宋_GB2312" w:eastAsia="仿宋_GB2312" w:cs="仿宋_GB2312"/>
          <w:color w:val="auto"/>
          <w:sz w:val="32"/>
          <w:szCs w:val="32"/>
          <w:highlight w:val="none"/>
        </w:rPr>
        <w:t>人次（不包括陪同人员），共计支出</w:t>
      </w:r>
      <w:r>
        <w:rPr>
          <w:rFonts w:hint="eastAsia" w:ascii="仿宋_GB2312" w:hAnsi="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万元，具体内容包括：</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接待成都自贡商会等13个异地商会</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招商引资工作洽谈</w:t>
      </w:r>
      <w:r>
        <w:rPr>
          <w:rFonts w:hint="eastAsia" w:ascii="仿宋_GB2312" w:hAnsi="仿宋_GB2312" w:cs="仿宋_GB2312"/>
          <w:color w:val="auto"/>
          <w:sz w:val="32"/>
          <w:szCs w:val="32"/>
          <w:highlight w:val="none"/>
          <w:lang w:val="en-US" w:eastAsia="zh-CN"/>
        </w:rPr>
        <w:t>0.57万元</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2.接待南充市仪陇县工商联0.21万元；3.接待省工商联秘书长0.11万元；4.接待成都自贡商会宋尊友等0.16万元；5.接待成都市工商联0.01万元；6.接待省工商联主席调研民营经济发展情况0.11万元；7.接待昆明商会钟建兴等0.17万元；8.对接异地商会2023招商引资项目（绵江酒店）来宾接待费0.27万元；9.开展民营企业内部腐败治理（川南片区）专项活动接待费0.06万元；10.“智慧工商联”自贡首发仪式接待费等0.18万元等。</w:t>
      </w:r>
    </w:p>
    <w:p>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auto"/>
          <w:sz w:val="32"/>
          <w:szCs w:val="32"/>
          <w:highlight w:val="none"/>
        </w:rPr>
        <w:t>外事接待支出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外事接待</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批次，</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人</w:t>
      </w:r>
      <w:r>
        <w:rPr>
          <w:rFonts w:hint="eastAsia" w:ascii="仿宋_GB2312" w:hAnsi="仿宋_GB2312" w:eastAsia="仿宋_GB2312" w:cs="仿宋_GB2312"/>
          <w:color w:val="auto"/>
          <w:sz w:val="32"/>
          <w:szCs w:val="32"/>
          <w:highlight w:val="none"/>
          <w:lang w:eastAsia="zh-CN"/>
        </w:rPr>
        <w:t>次（不包括陪同人员）</w:t>
      </w:r>
      <w:r>
        <w:rPr>
          <w:rFonts w:hint="eastAsia" w:ascii="仿宋_GB2312" w:hAnsi="仿宋_GB2312" w:eastAsia="仿宋_GB2312" w:cs="仿宋_GB2312"/>
          <w:color w:val="auto"/>
          <w:sz w:val="32"/>
          <w:szCs w:val="32"/>
          <w:highlight w:val="none"/>
        </w:rPr>
        <w:t>，共计支出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bookmarkStart w:id="91" w:name="_GoBack"/>
      <w:bookmarkEnd w:id="91"/>
    </w:p>
    <w:p>
      <w:pPr>
        <w:spacing w:line="600" w:lineRule="exact"/>
        <w:ind w:firstLine="640"/>
        <w:outlineLvl w:val="1"/>
        <w:rPr>
          <w:rFonts w:ascii="黑体" w:eastAsia="黑体"/>
          <w:color w:val="000000"/>
          <w:sz w:val="32"/>
          <w:szCs w:val="32"/>
        </w:rPr>
      </w:pPr>
      <w:bookmarkStart w:id="43" w:name="_Toc15377218"/>
      <w:bookmarkStart w:id="44" w:name="_Toc15396610"/>
    </w:p>
    <w:p>
      <w:pPr>
        <w:spacing w:line="600" w:lineRule="exact"/>
        <w:ind w:firstLine="640"/>
        <w:outlineLvl w:val="1"/>
        <w:rPr>
          <w:rStyle w:val="17"/>
          <w:rFonts w:ascii="黑体" w:hAnsi="黑体" w:eastAsia="黑体"/>
        </w:rPr>
      </w:pPr>
      <w:bookmarkStart w:id="45" w:name="_Toc1591094750"/>
      <w:bookmarkStart w:id="46" w:name="_Toc27509"/>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43"/>
      <w:bookmarkEnd w:id="44"/>
      <w:bookmarkEnd w:id="45"/>
      <w:bookmarkEnd w:id="46"/>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w:t>
      </w:r>
      <w:r>
        <w:rPr>
          <w:rFonts w:hint="eastAsia" w:ascii="仿宋_GB2312" w:hAnsi="仿宋_GB2312" w:eastAsia="仿宋_GB2312" w:cs="仿宋_GB2312"/>
          <w:color w:val="auto"/>
          <w:sz w:val="32"/>
          <w:szCs w:val="32"/>
          <w:highlight w:val="none"/>
        </w:rPr>
        <w:t>年政府性基金预算</w:t>
      </w:r>
      <w:r>
        <w:rPr>
          <w:rFonts w:hint="eastAsia" w:ascii="仿宋_GB2312" w:hAnsi="仿宋_GB2312" w:eastAsia="仿宋_GB2312" w:cs="仿宋_GB2312"/>
          <w:color w:val="auto"/>
          <w:sz w:val="32"/>
          <w:szCs w:val="32"/>
          <w:highlight w:val="none"/>
          <w:lang w:eastAsia="zh-CN"/>
        </w:rPr>
        <w:t>财政</w:t>
      </w:r>
      <w:r>
        <w:rPr>
          <w:rFonts w:hint="eastAsia" w:ascii="仿宋_GB2312" w:hAnsi="仿宋_GB2312" w:eastAsia="仿宋_GB2312" w:cs="仿宋_GB2312"/>
          <w:color w:val="auto"/>
          <w:sz w:val="32"/>
          <w:szCs w:val="32"/>
          <w:highlight w:val="none"/>
        </w:rPr>
        <w:t>拨款支出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17"/>
          <w:rFonts w:ascii="黑体" w:hAnsi="黑体" w:eastAsia="黑体"/>
          <w:b w:val="0"/>
        </w:rPr>
      </w:pPr>
      <w:bookmarkStart w:id="47" w:name="_Toc937569418"/>
      <w:bookmarkStart w:id="48" w:name="_Toc15377219"/>
      <w:bookmarkStart w:id="49" w:name="_Toc15396611"/>
      <w:bookmarkStart w:id="50" w:name="_Toc269"/>
      <w:r>
        <w:rPr>
          <w:rStyle w:val="17"/>
          <w:rFonts w:hint="eastAsia" w:ascii="黑体" w:hAnsi="黑体" w:eastAsia="黑体"/>
          <w:b w:val="0"/>
        </w:rPr>
        <w:t>国有资本经营预算支出决算情况说明</w:t>
      </w:r>
      <w:bookmarkEnd w:id="47"/>
      <w:bookmarkEnd w:id="48"/>
      <w:bookmarkEnd w:id="49"/>
      <w:bookmarkEnd w:id="50"/>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w:t>
      </w:r>
      <w:r>
        <w:rPr>
          <w:rFonts w:hint="eastAsia" w:ascii="仿宋_GB2312" w:hAnsi="仿宋_GB2312" w:eastAsia="仿宋_GB2312" w:cs="仿宋_GB2312"/>
          <w:color w:val="auto"/>
          <w:sz w:val="32"/>
          <w:szCs w:val="32"/>
          <w:highlight w:val="none"/>
        </w:rPr>
        <w:t>年国有资本经营预算</w:t>
      </w:r>
      <w:r>
        <w:rPr>
          <w:rFonts w:hint="eastAsia" w:ascii="仿宋_GB2312" w:hAnsi="仿宋_GB2312" w:eastAsia="仿宋_GB2312" w:cs="仿宋_GB2312"/>
          <w:color w:val="auto"/>
          <w:sz w:val="32"/>
          <w:szCs w:val="32"/>
          <w:highlight w:val="none"/>
          <w:lang w:eastAsia="zh-CN"/>
        </w:rPr>
        <w:t>财政</w:t>
      </w:r>
      <w:r>
        <w:rPr>
          <w:rFonts w:hint="eastAsia" w:ascii="仿宋_GB2312" w:hAnsi="仿宋_GB2312" w:eastAsia="仿宋_GB2312" w:cs="仿宋_GB2312"/>
          <w:color w:val="auto"/>
          <w:sz w:val="32"/>
          <w:szCs w:val="32"/>
          <w:highlight w:val="none"/>
        </w:rPr>
        <w:t>拨款支出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17"/>
          <w:rFonts w:ascii="黑体" w:hAnsi="黑体" w:eastAsia="黑体"/>
        </w:rPr>
      </w:pPr>
      <w:bookmarkStart w:id="51" w:name="_Toc15396612"/>
      <w:bookmarkStart w:id="52" w:name="_Toc479257254"/>
      <w:bookmarkStart w:id="53" w:name="_Toc15678"/>
      <w:bookmarkStart w:id="54" w:name="_Toc15377221"/>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bookmarkEnd w:id="51"/>
      <w:bookmarkEnd w:id="52"/>
      <w:bookmarkEnd w:id="53"/>
      <w:bookmarkEnd w:id="54"/>
    </w:p>
    <w:p>
      <w:pPr>
        <w:spacing w:line="600" w:lineRule="exact"/>
        <w:ind w:firstLine="643" w:firstLineChars="200"/>
        <w:outlineLvl w:val="2"/>
        <w:rPr>
          <w:rFonts w:hint="eastAsia" w:ascii="仿宋_GB2312" w:hAnsi="仿宋_GB2312" w:eastAsia="仿宋_GB2312" w:cs="仿宋_GB2312"/>
          <w:color w:val="000000"/>
          <w:sz w:val="32"/>
          <w:szCs w:val="32"/>
        </w:rPr>
      </w:pPr>
      <w:bookmarkStart w:id="55" w:name="_Toc15377222"/>
      <w:r>
        <w:rPr>
          <w:rFonts w:hint="eastAsia" w:ascii="仿宋_GB2312" w:hAnsi="仿宋_GB2312" w:eastAsia="仿宋_GB2312" w:cs="仿宋_GB2312"/>
          <w:b/>
          <w:color w:val="000000"/>
          <w:sz w:val="32"/>
          <w:szCs w:val="32"/>
        </w:rPr>
        <w:t>（一）机关运行经费支出情况</w:t>
      </w:r>
      <w:bookmarkEnd w:id="55"/>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eastAsia="zh-CN"/>
        </w:rPr>
        <w:t>自贡市工商业联合会</w:t>
      </w:r>
      <w:r>
        <w:rPr>
          <w:rFonts w:hint="eastAsia" w:ascii="仿宋_GB2312" w:hAnsi="仿宋_GB2312" w:eastAsia="仿宋_GB2312" w:cs="仿宋_GB2312"/>
          <w:color w:val="auto"/>
          <w:sz w:val="32"/>
          <w:szCs w:val="32"/>
          <w:highlight w:val="none"/>
        </w:rPr>
        <w:t>机关运行经费支出</w:t>
      </w:r>
      <w:r>
        <w:rPr>
          <w:rFonts w:hint="eastAsia" w:ascii="仿宋_GB2312" w:hAnsi="仿宋_GB2312" w:cs="仿宋_GB2312"/>
          <w:color w:val="auto"/>
          <w:sz w:val="32"/>
          <w:szCs w:val="32"/>
          <w:highlight w:val="none"/>
          <w:lang w:val="en-US" w:eastAsia="zh-CN"/>
        </w:rPr>
        <w:t>70.97</w:t>
      </w:r>
      <w:r>
        <w:rPr>
          <w:rFonts w:hint="eastAsia" w:ascii="仿宋_GB2312" w:hAnsi="仿宋_GB2312" w:eastAsia="仿宋_GB2312" w:cs="仿宋_GB2312"/>
          <w:color w:val="auto"/>
          <w:sz w:val="32"/>
          <w:szCs w:val="32"/>
          <w:highlight w:val="none"/>
        </w:rPr>
        <w:t>万元，比</w:t>
      </w:r>
      <w:r>
        <w:rPr>
          <w:rFonts w:hint="eastAsia" w:ascii="仿宋_GB2312" w:hAnsi="仿宋_GB2312" w:cs="仿宋_GB2312"/>
          <w:color w:val="auto"/>
          <w:sz w:val="32"/>
          <w:szCs w:val="32"/>
          <w:highlight w:val="none"/>
          <w:lang w:eastAsia="zh-CN"/>
        </w:rPr>
        <w:t>2022年</w:t>
      </w:r>
      <w:r>
        <w:rPr>
          <w:rFonts w:hint="eastAsia" w:ascii="仿宋_GB2312" w:hAnsi="仿宋_GB2312" w:eastAsia="仿宋_GB2312" w:cs="仿宋_GB2312"/>
          <w:color w:val="auto"/>
          <w:sz w:val="32"/>
          <w:szCs w:val="32"/>
          <w:highlight w:val="none"/>
        </w:rPr>
        <w:t>增加</w:t>
      </w:r>
      <w:r>
        <w:rPr>
          <w:rFonts w:hint="eastAsia" w:ascii="仿宋_GB2312" w:hAnsi="仿宋_GB2312" w:cs="仿宋_GB2312"/>
          <w:color w:val="auto"/>
          <w:sz w:val="32"/>
          <w:szCs w:val="32"/>
          <w:highlight w:val="none"/>
          <w:lang w:val="en-US" w:eastAsia="zh-CN"/>
        </w:rPr>
        <w:t>9.88</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16.17</w:t>
      </w:r>
      <w:r>
        <w:rPr>
          <w:rFonts w:hint="eastAsia" w:ascii="仿宋_GB2312" w:hAnsi="仿宋_GB2312" w:eastAsia="仿宋_GB2312" w:cs="仿宋_GB2312"/>
          <w:color w:val="auto"/>
          <w:sz w:val="32"/>
          <w:szCs w:val="32"/>
          <w:highlight w:val="none"/>
        </w:rPr>
        <w:t>%。主要原因是</w:t>
      </w:r>
      <w:r>
        <w:rPr>
          <w:rFonts w:hint="eastAsia" w:ascii="仿宋_GB2312" w:hAnsi="仿宋_GB2312" w:cs="仿宋_GB2312"/>
          <w:color w:val="auto"/>
          <w:sz w:val="32"/>
          <w:szCs w:val="32"/>
          <w:highlight w:val="none"/>
          <w:lang w:eastAsia="zh-CN"/>
        </w:rPr>
        <w:t>人员增加</w:t>
      </w:r>
      <w:r>
        <w:rPr>
          <w:rFonts w:hint="eastAsia" w:ascii="仿宋_GB2312" w:hAnsi="仿宋_GB2312" w:eastAsia="仿宋_GB2312" w:cs="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6" w:name="_Toc15377223"/>
      <w:r>
        <w:rPr>
          <w:rFonts w:hint="eastAsia" w:ascii="仿宋_GB2312" w:hAnsi="仿宋_GB2312" w:eastAsia="仿宋_GB2312" w:cs="仿宋_GB2312"/>
          <w:b/>
          <w:color w:val="000000"/>
          <w:sz w:val="32"/>
          <w:szCs w:val="32"/>
        </w:rPr>
        <w:t>（二）政府采购支出情况</w:t>
      </w:r>
      <w:bookmarkEnd w:id="56"/>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eastAsia="zh-CN"/>
        </w:rPr>
        <w:t>自贡市工商业联合会</w:t>
      </w:r>
      <w:r>
        <w:rPr>
          <w:rFonts w:hint="eastAsia" w:ascii="仿宋_GB2312" w:hAnsi="仿宋_GB2312" w:eastAsia="仿宋_GB2312" w:cs="仿宋_GB2312"/>
          <w:color w:val="auto"/>
          <w:sz w:val="32"/>
          <w:szCs w:val="32"/>
          <w:highlight w:val="none"/>
        </w:rPr>
        <w:t>政府采购支出总额</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万元，其中：政府采购货物支出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万元、政府采购工程支出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万元、政府采购服务支出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万元。授予中小企业合同金额</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万元，占政府采购支出总额的</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%，其中：授予小微企业合同金额</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万元，占政府采购支出总额的</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7" w:name="_Toc15377224"/>
      <w:r>
        <w:rPr>
          <w:rFonts w:hint="eastAsia" w:ascii="仿宋_GB2312" w:hAnsi="仿宋_GB2312" w:eastAsia="仿宋_GB2312" w:cs="仿宋_GB2312"/>
          <w:b/>
          <w:color w:val="000000"/>
          <w:sz w:val="32"/>
          <w:szCs w:val="32"/>
        </w:rPr>
        <w:t>（三）国有资产占有使用情况</w:t>
      </w:r>
      <w:bookmarkEnd w:id="57"/>
    </w:p>
    <w:p>
      <w:pPr>
        <w:autoSpaceDE w:val="0"/>
        <w:autoSpaceDN w:val="0"/>
        <w:adjustRightInd w:val="0"/>
        <w:spacing w:line="60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w:t>
      </w:r>
      <w:r>
        <w:rPr>
          <w:rFonts w:hint="eastAsia" w:ascii="仿宋_GB2312" w:hAnsi="仿宋_GB2312" w:cs="仿宋_GB2312"/>
          <w:color w:val="auto"/>
          <w:sz w:val="32"/>
          <w:szCs w:val="32"/>
          <w:highlight w:val="none"/>
          <w:lang w:eastAsia="zh-CN"/>
        </w:rPr>
        <w:t>2023年</w:t>
      </w:r>
      <w:r>
        <w:rPr>
          <w:rFonts w:hint="eastAsia" w:ascii="仿宋_GB2312" w:hAnsi="仿宋_GB2312" w:eastAsia="仿宋_GB2312" w:cs="仿宋_GB2312"/>
          <w:color w:val="auto"/>
          <w:sz w:val="32"/>
          <w:szCs w:val="32"/>
          <w:highlight w:val="none"/>
        </w:rPr>
        <w:t>12月31日，</w:t>
      </w:r>
      <w:r>
        <w:rPr>
          <w:rFonts w:hint="eastAsia" w:ascii="仿宋_GB2312" w:hAnsi="仿宋_GB2312" w:cs="仿宋_GB2312"/>
          <w:color w:val="auto"/>
          <w:sz w:val="32"/>
          <w:szCs w:val="32"/>
          <w:highlight w:val="none"/>
          <w:lang w:eastAsia="zh-CN"/>
        </w:rPr>
        <w:t>自贡市工商业联合会</w:t>
      </w:r>
      <w:r>
        <w:rPr>
          <w:rFonts w:hint="eastAsia" w:ascii="仿宋_GB2312" w:hAnsi="仿宋_GB2312" w:eastAsia="仿宋_GB2312" w:cs="仿宋_GB2312"/>
          <w:color w:val="auto"/>
          <w:sz w:val="32"/>
          <w:szCs w:val="32"/>
          <w:highlight w:val="none"/>
        </w:rPr>
        <w:t>共有车辆</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辆，其中：主要领导干部用车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辆、机要通信用车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辆、应急保障用车</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辆、其他用车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单价100万元以上专用设备</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（四）预算绩效管理情况。</w:t>
      </w:r>
    </w:p>
    <w:p>
      <w:pPr>
        <w:pStyle w:val="2"/>
        <w:ind w:firstLine="640" w:firstLineChars="200"/>
        <w:rPr>
          <w:color w:val="auto"/>
          <w:highlight w:val="yellow"/>
        </w:rPr>
      </w:pPr>
      <w:r>
        <w:rPr>
          <w:rFonts w:hint="eastAsia" w:ascii="仿宋_GB2312" w:hAnsi="仿宋_GB2312" w:eastAsia="仿宋_GB2312" w:cs="仿宋_GB2312"/>
          <w:color w:val="auto"/>
          <w:sz w:val="32"/>
          <w:szCs w:val="32"/>
          <w:highlight w:val="none"/>
        </w:rPr>
        <w:t>根据预算绩效管理要求，本单位在</w:t>
      </w:r>
      <w:r>
        <w:rPr>
          <w:rFonts w:hint="eastAsia" w:hAnsi="仿宋_GB2312" w:cs="仿宋_GB2312"/>
          <w:color w:val="auto"/>
          <w:sz w:val="32"/>
          <w:szCs w:val="32"/>
          <w:highlight w:val="none"/>
          <w:lang w:eastAsia="zh-CN"/>
        </w:rPr>
        <w:t>2023</w:t>
      </w:r>
      <w:r>
        <w:rPr>
          <w:rFonts w:hint="eastAsia" w:ascii="仿宋_GB2312" w:hAnsi="仿宋_GB2312" w:eastAsia="仿宋_GB2312" w:cs="仿宋_GB2312"/>
          <w:color w:val="auto"/>
          <w:sz w:val="32"/>
          <w:szCs w:val="32"/>
          <w:highlight w:val="none"/>
        </w:rPr>
        <w:t>年度预算编制阶段，组织对</w:t>
      </w:r>
      <w:r>
        <w:rPr>
          <w:rFonts w:hint="eastAsia"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个项目开展了预算事前绩效评估，对XX个项目编制了绩效目标，预算执行过程中，选取</w:t>
      </w:r>
      <w:r>
        <w:rPr>
          <w:rFonts w:hint="eastAsia" w:hAnsi="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个项目开展绩效监控，组织对</w:t>
      </w:r>
      <w:r>
        <w:rPr>
          <w:rFonts w:hint="eastAsia" w:hAnsi="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个项目开展绩效自评，绩效自评表详见</w:t>
      </w:r>
      <w:r>
        <w:rPr>
          <w:rFonts w:hint="eastAsia" w:hAnsi="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附件。</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rPr>
          <w:rStyle w:val="16"/>
          <w:rFonts w:ascii="黑体" w:hAnsi="黑体" w:eastAsia="黑体"/>
          <w:b w:val="0"/>
        </w:rPr>
      </w:pPr>
      <w:bookmarkStart w:id="58" w:name="_Toc15396613"/>
      <w:bookmarkStart w:id="59" w:name="_Toc15377225"/>
      <w:r>
        <w:rPr>
          <w:rFonts w:hint="eastAsia" w:ascii="黑体" w:hAnsi="黑体" w:eastAsia="黑体"/>
          <w:color w:val="000000"/>
          <w:sz w:val="44"/>
          <w:szCs w:val="44"/>
        </w:rPr>
        <w:br w:type="page"/>
      </w:r>
    </w:p>
    <w:p>
      <w:pPr>
        <w:numPr>
          <w:ilvl w:val="0"/>
          <w:numId w:val="3"/>
        </w:numPr>
        <w:spacing w:line="600" w:lineRule="exact"/>
        <w:ind w:firstLine="660" w:firstLineChars="150"/>
        <w:jc w:val="center"/>
        <w:outlineLvl w:val="0"/>
        <w:rPr>
          <w:rStyle w:val="16"/>
          <w:rFonts w:ascii="黑体" w:hAnsi="黑体" w:eastAsia="黑体"/>
          <w:b w:val="0"/>
        </w:rPr>
      </w:pPr>
      <w:bookmarkStart w:id="60" w:name="_Toc19818"/>
      <w:r>
        <w:rPr>
          <w:rFonts w:hint="eastAsia" w:ascii="黑体" w:hAnsi="黑体" w:eastAsia="黑体"/>
          <w:color w:val="000000"/>
          <w:sz w:val="44"/>
          <w:szCs w:val="44"/>
        </w:rPr>
        <w:t>名</w:t>
      </w:r>
      <w:r>
        <w:rPr>
          <w:rStyle w:val="16"/>
          <w:rFonts w:hint="eastAsia" w:ascii="黑体" w:hAnsi="黑体" w:eastAsia="黑体"/>
          <w:b w:val="0"/>
        </w:rPr>
        <w:t>词解释</w:t>
      </w:r>
      <w:bookmarkEnd w:id="58"/>
      <w:bookmarkEnd w:id="59"/>
      <w:bookmarkEnd w:id="60"/>
    </w:p>
    <w:p>
      <w:pPr>
        <w:spacing w:line="600" w:lineRule="exact"/>
        <w:jc w:val="left"/>
        <w:rPr>
          <w:rFonts w:ascii="宋体"/>
          <w:b/>
          <w:color w:val="000000"/>
          <w:sz w:val="44"/>
          <w:szCs w:val="44"/>
        </w:rPr>
      </w:pPr>
    </w:p>
    <w:p>
      <w:pPr>
        <w:pStyle w:val="19"/>
        <w:spacing w:line="560" w:lineRule="exact"/>
        <w:ind w:firstLine="640" w:firstLineChars="200"/>
        <w:rPr>
          <w:rFonts w:ascii="仿宋_GB2312" w:eastAsia="仿宋_GB2312"/>
          <w:color w:val="auto"/>
          <w:sz w:val="32"/>
          <w:szCs w:val="32"/>
          <w:highlight w:val="none"/>
        </w:rPr>
      </w:pPr>
      <w:bookmarkStart w:id="61" w:name="_Toc15377226"/>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1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1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1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p>
    <w:p>
      <w:pPr>
        <w:pStyle w:val="1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1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19"/>
        <w:spacing w:line="56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7.结余分配：指事业单位按照会计制度规定缴纳的所得税、提取的专用结余以及转入非财政拨款结余的金额等。</w:t>
      </w:r>
    </w:p>
    <w:p>
      <w:pPr>
        <w:pStyle w:val="19"/>
        <w:spacing w:line="56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9</w:t>
      </w:r>
      <w:r>
        <w:rPr>
          <w:rFonts w:hint="eastAsia" w:ascii="仿宋_GB2312" w:hAnsi="Times New Roman" w:eastAsia="仿宋_GB2312" w:cs="Times New Roman"/>
          <w:color w:val="auto"/>
          <w:kern w:val="2"/>
          <w:sz w:val="32"/>
          <w:szCs w:val="32"/>
          <w:highlight w:val="none"/>
          <w:lang w:val="en-US" w:eastAsia="zh-CN" w:bidi="ar-SA"/>
        </w:rPr>
        <w:t>.一般公共服务支出（类）商贸事务（款）招商引资（项）: 反映用于招商引资、优化经济环境等方面的支出。</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10</w:t>
      </w:r>
      <w:r>
        <w:rPr>
          <w:rFonts w:hint="eastAsia" w:ascii="仿宋_GB2312" w:hAnsi="Times New Roman" w:eastAsia="仿宋_GB2312" w:cs="Times New Roman"/>
          <w:color w:val="auto"/>
          <w:kern w:val="2"/>
          <w:sz w:val="32"/>
          <w:szCs w:val="32"/>
          <w:highlight w:val="none"/>
          <w:lang w:val="en-US" w:eastAsia="zh-CN" w:bidi="ar-SA"/>
        </w:rPr>
        <w:t>.一般公共服务支出（类）民主党派及工商联事务（款）行政运行（项）: 反映行政单位（包括实行公务员管理的事业单位）的基本支出。</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11</w:t>
      </w:r>
      <w:r>
        <w:rPr>
          <w:rFonts w:hint="eastAsia" w:ascii="仿宋_GB2312" w:hAnsi="Times New Roman" w:eastAsia="仿宋_GB2312" w:cs="Times New Roman"/>
          <w:color w:val="auto"/>
          <w:kern w:val="2"/>
          <w:sz w:val="32"/>
          <w:szCs w:val="32"/>
          <w:highlight w:val="none"/>
          <w:lang w:val="en-US" w:eastAsia="zh-CN" w:bidi="ar-SA"/>
        </w:rPr>
        <w:t>.一般公共服务支出（类）民主党派及工商联事务（款）一般行政管理事务（项）: 反映行政单位（包括实行公务员管理的事业单位）未单独设置项级科目的其他项目支出。</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12</w:t>
      </w:r>
      <w:r>
        <w:rPr>
          <w:rFonts w:hint="eastAsia" w:ascii="仿宋_GB2312" w:hAnsi="Times New Roman" w:eastAsia="仿宋_GB2312" w:cs="Times New Roman"/>
          <w:color w:val="auto"/>
          <w:kern w:val="2"/>
          <w:sz w:val="32"/>
          <w:szCs w:val="32"/>
          <w:highlight w:val="none"/>
          <w:lang w:val="en-US" w:eastAsia="zh-CN" w:bidi="ar-SA"/>
        </w:rPr>
        <w:t>.社会保障和就业（类）行政事业单位养老支出（款）行政单位离退休（项）: 反映行政单位（包括实行公务员管理的事业单位）开支的离退休经费。</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13</w:t>
      </w:r>
      <w:r>
        <w:rPr>
          <w:rFonts w:hint="eastAsia" w:ascii="仿宋_GB2312" w:hAnsi="Times New Roman" w:eastAsia="仿宋_GB2312" w:cs="Times New Roman"/>
          <w:color w:val="auto"/>
          <w:kern w:val="2"/>
          <w:sz w:val="32"/>
          <w:szCs w:val="32"/>
          <w:highlight w:val="none"/>
          <w:lang w:val="en-US" w:eastAsia="zh-CN" w:bidi="ar-SA"/>
        </w:rPr>
        <w:t>.社会保障和就业（类）行政事业单位养老支出（款）机关事业单位基本养老保险缴费支出（项）: 反映机关事业单位实施养老保险制度由单位缴纳的基本养老保险费支出。</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14</w:t>
      </w:r>
      <w:r>
        <w:rPr>
          <w:rFonts w:hint="eastAsia" w:ascii="仿宋_GB2312" w:hAnsi="Times New Roman" w:eastAsia="仿宋_GB2312" w:cs="Times New Roman"/>
          <w:color w:val="auto"/>
          <w:kern w:val="2"/>
          <w:sz w:val="32"/>
          <w:szCs w:val="32"/>
          <w:highlight w:val="none"/>
          <w:lang w:val="en-US" w:eastAsia="zh-CN" w:bidi="ar-SA"/>
        </w:rPr>
        <w:t>.社会保障和就业（类）行政事业单位养老支出（款）机关事业单位职业年金缴费支出（项）: 反映机关事业单位实施养老保险制度由单位实际缴纳的职业年金支出。</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15</w:t>
      </w:r>
      <w:r>
        <w:rPr>
          <w:rFonts w:hint="eastAsia" w:ascii="仿宋_GB2312" w:hAnsi="Times New Roman" w:eastAsia="仿宋_GB2312" w:cs="Times New Roman"/>
          <w:color w:val="auto"/>
          <w:kern w:val="2"/>
          <w:sz w:val="32"/>
          <w:szCs w:val="32"/>
          <w:highlight w:val="none"/>
          <w:lang w:val="en-US" w:eastAsia="zh-CN" w:bidi="ar-SA"/>
        </w:rPr>
        <w:t>.社会保障和就业（类）抚恤（款）死亡抚恤（项）: 反映按规定用于烈士和牺牲、病故人员家属的一次性和定期抚恤金以及丧葬补助费。</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16</w:t>
      </w:r>
      <w:r>
        <w:rPr>
          <w:rFonts w:hint="eastAsia" w:ascii="仿宋_GB2312" w:hAnsi="Times New Roman" w:eastAsia="仿宋_GB2312" w:cs="Times New Roman"/>
          <w:color w:val="auto"/>
          <w:kern w:val="2"/>
          <w:sz w:val="32"/>
          <w:szCs w:val="32"/>
          <w:highlight w:val="none"/>
          <w:lang w:val="en-US" w:eastAsia="zh-CN" w:bidi="ar-SA"/>
        </w:rPr>
        <w:t>.卫生健康（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cs="Times New Roman"/>
          <w:color w:val="auto"/>
          <w:kern w:val="2"/>
          <w:sz w:val="32"/>
          <w:szCs w:val="32"/>
          <w:highlight w:val="none"/>
          <w:lang w:val="en-US" w:eastAsia="zh-CN" w:bidi="ar-SA"/>
        </w:rPr>
        <w:t>17</w:t>
      </w:r>
      <w:r>
        <w:rPr>
          <w:rFonts w:hint="eastAsia" w:ascii="仿宋_GB2312" w:hAnsi="Times New Roman" w:eastAsia="仿宋_GB2312" w:cs="Times New Roman"/>
          <w:color w:val="auto"/>
          <w:kern w:val="2"/>
          <w:sz w:val="32"/>
          <w:szCs w:val="32"/>
          <w:highlight w:val="none"/>
          <w:lang w:val="en-US" w:eastAsia="zh-CN" w:bidi="ar-SA"/>
        </w:rPr>
        <w:t>.卫生健康（类）行政事业单位医疗（款）公务员医疗补助（项）:反映财政部门安排的公务员医疗补助经费。</w:t>
      </w:r>
    </w:p>
    <w:p>
      <w:pPr>
        <w:spacing w:line="600" w:lineRule="exact"/>
        <w:ind w:firstLine="640" w:firstLineChars="200"/>
        <w:rPr>
          <w:rFonts w:hint="eastAsia" w:ascii="仿宋_GB2312" w:hAnsi="仿宋_GB2312" w:eastAsia="仿宋_GB2312" w:cs="仿宋_GB2312"/>
          <w:b/>
          <w:color w:val="auto"/>
          <w:sz w:val="32"/>
          <w:szCs w:val="32"/>
          <w:highlight w:val="none"/>
          <w:lang w:eastAsia="zh-CN"/>
        </w:rPr>
      </w:pPr>
      <w:r>
        <w:rPr>
          <w:rFonts w:hint="eastAsia" w:ascii="仿宋_GB2312" w:hAnsi="Times New Roman" w:eastAsia="仿宋_GB2312" w:cs="Times New Roman"/>
          <w:color w:val="auto"/>
          <w:kern w:val="2"/>
          <w:sz w:val="32"/>
          <w:szCs w:val="32"/>
          <w:highlight w:val="none"/>
          <w:lang w:val="en-US" w:eastAsia="zh-CN" w:bidi="ar-SA"/>
        </w:rPr>
        <w:t>1</w:t>
      </w:r>
      <w:r>
        <w:rPr>
          <w:rFonts w:hint="eastAsia" w:ascii="仿宋_GB2312" w:cs="Times New Roman"/>
          <w:color w:val="auto"/>
          <w:kern w:val="2"/>
          <w:sz w:val="32"/>
          <w:szCs w:val="32"/>
          <w:highlight w:val="none"/>
          <w:lang w:val="en-US" w:eastAsia="zh-CN" w:bidi="ar-SA"/>
        </w:rPr>
        <w:t>8</w:t>
      </w:r>
      <w:r>
        <w:rPr>
          <w:rFonts w:hint="eastAsia" w:ascii="仿宋_GB2312" w:hAnsi="Times New Roman" w:eastAsia="仿宋_GB2312" w:cs="Times New Roman"/>
          <w:color w:val="auto"/>
          <w:kern w:val="2"/>
          <w:sz w:val="32"/>
          <w:szCs w:val="32"/>
          <w:highlight w:val="none"/>
          <w:lang w:val="en-US" w:eastAsia="zh-CN" w:bidi="ar-SA"/>
        </w:rPr>
        <w:t>.住房保障支出（类）住房改革支出（款）住房公积金（项）:反映行政事业单位按人力资源和社会保障部、财政部规定的基本工资和津贴补贴以及规定比例为职</w:t>
      </w:r>
      <w:r>
        <w:rPr>
          <w:rStyle w:val="14"/>
          <w:rFonts w:hint="eastAsia" w:ascii="仿宋_GB2312" w:hAnsi="仿宋_GB2312" w:cs="仿宋_GB2312"/>
          <w:b w:val="0"/>
          <w:bCs/>
          <w:color w:val="auto"/>
          <w:sz w:val="32"/>
          <w:szCs w:val="32"/>
          <w:highlight w:val="none"/>
          <w:lang w:eastAsia="zh-CN"/>
        </w:rPr>
        <w:t>工缴纳的住房公积金。</w:t>
      </w:r>
    </w:p>
    <w:p>
      <w:pPr>
        <w:ind w:firstLine="640" w:firstLineChars="200"/>
        <w:rPr>
          <w:rFonts w:ascii="仿宋_GB2312" w:eastAsia="仿宋_GB2312"/>
          <w:color w:val="auto"/>
          <w:sz w:val="32"/>
          <w:szCs w:val="32"/>
          <w:highlight w:val="none"/>
        </w:rPr>
      </w:pPr>
      <w:r>
        <w:rPr>
          <w:rFonts w:hint="eastAsia" w:ascii="仿宋_GB2312"/>
          <w:color w:val="auto"/>
          <w:sz w:val="32"/>
          <w:szCs w:val="32"/>
          <w:highlight w:val="none"/>
          <w:lang w:val="en-US" w:eastAsia="zh-CN"/>
        </w:rPr>
        <w:t>19</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hint="eastAsia" w:ascii="仿宋_GB2312"/>
          <w:color w:val="auto"/>
          <w:sz w:val="32"/>
          <w:szCs w:val="32"/>
          <w:highlight w:val="none"/>
          <w:lang w:val="en-US" w:eastAsia="zh-CN"/>
        </w:rPr>
        <w:t>20</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hint="eastAsia" w:ascii="仿宋_GB2312"/>
          <w:color w:val="auto"/>
          <w:sz w:val="32"/>
          <w:szCs w:val="32"/>
          <w:highlight w:val="none"/>
          <w:lang w:val="en-US" w:eastAsia="zh-CN"/>
        </w:rPr>
        <w:t>21</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19"/>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22</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23</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spacing w:line="560" w:lineRule="exact"/>
        <w:ind w:firstLine="640" w:firstLineChars="200"/>
        <w:rPr>
          <w:rFonts w:ascii="仿宋_GB2312" w:eastAsia="仿宋_GB2312" w:cs="黑体"/>
          <w:color w:val="auto"/>
          <w:sz w:val="32"/>
          <w:szCs w:val="32"/>
          <w:highlight w:val="none"/>
        </w:rPr>
      </w:pPr>
    </w:p>
    <w:p>
      <w:pPr>
        <w:spacing w:line="600" w:lineRule="exact"/>
        <w:jc w:val="center"/>
        <w:outlineLvl w:val="0"/>
        <w:rPr>
          <w:rStyle w:val="16"/>
          <w:rFonts w:ascii="黑体" w:hAnsi="黑体" w:eastAsia="黑体"/>
          <w:b w:val="0"/>
        </w:rPr>
      </w:pPr>
      <w:r>
        <w:rPr>
          <w:rFonts w:ascii="宋体"/>
          <w:b/>
          <w:color w:val="000000"/>
          <w:sz w:val="44"/>
          <w:szCs w:val="44"/>
        </w:rPr>
        <w:br w:type="page"/>
      </w:r>
      <w:bookmarkStart w:id="62" w:name="_Toc23450"/>
      <w:bookmarkStart w:id="63" w:name="_Toc15396614"/>
      <w:r>
        <w:rPr>
          <w:rFonts w:hint="eastAsia" w:ascii="黑体" w:hAnsi="黑体" w:eastAsia="黑体"/>
          <w:color w:val="000000"/>
          <w:sz w:val="44"/>
          <w:szCs w:val="44"/>
        </w:rPr>
        <w:t>第</w:t>
      </w:r>
      <w:r>
        <w:rPr>
          <w:rStyle w:val="16"/>
          <w:rFonts w:hint="eastAsia" w:ascii="黑体" w:hAnsi="黑体" w:eastAsia="黑体"/>
          <w:b w:val="0"/>
        </w:rPr>
        <w:t>四部分</w:t>
      </w:r>
      <w:r>
        <w:rPr>
          <w:rStyle w:val="16"/>
          <w:rFonts w:ascii="黑体" w:hAnsi="黑体" w:eastAsia="黑体"/>
          <w:b w:val="0"/>
        </w:rPr>
        <w:t xml:space="preserve"> </w:t>
      </w:r>
      <w:r>
        <w:rPr>
          <w:rStyle w:val="16"/>
          <w:rFonts w:hint="eastAsia" w:ascii="黑体" w:hAnsi="黑体" w:eastAsia="黑体"/>
          <w:b w:val="0"/>
        </w:rPr>
        <w:t>附件</w:t>
      </w:r>
      <w:bookmarkEnd w:id="62"/>
      <w:bookmarkEnd w:id="63"/>
    </w:p>
    <w:p>
      <w:pPr>
        <w:keepNext w:val="0"/>
        <w:keepLines w:val="0"/>
        <w:pageBreakBefore w:val="0"/>
        <w:widowControl/>
        <w:kinsoku/>
        <w:wordWrap/>
        <w:overflowPunct/>
        <w:topLinePunct w:val="0"/>
        <w:autoSpaceDE/>
        <w:autoSpaceDN/>
        <w:bidi w:val="0"/>
        <w:adjustRightInd w:val="0"/>
        <w:snapToGrid w:val="0"/>
        <w:spacing w:line="560" w:lineRule="exact"/>
        <w:contextualSpacing/>
        <w:jc w:val="center"/>
        <w:textAlignment w:val="auto"/>
        <w:rPr>
          <w:rFonts w:hint="eastAsia" w:ascii="方正小标宋简体" w:hAnsi="方正小标宋简体" w:eastAsia="方正小标宋简体" w:cs="方正小标宋简体"/>
          <w:color w:val="000000"/>
          <w:kern w:val="0"/>
          <w:sz w:val="44"/>
          <w:szCs w:val="44"/>
          <w:highlight w:val="none"/>
          <w:shd w:val="clear" w:color="auto" w:fill="FFFFFF"/>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contextualSpacing/>
        <w:jc w:val="center"/>
        <w:textAlignment w:val="auto"/>
        <w:rPr>
          <w:rFonts w:hint="eastAsia" w:ascii="方正小标宋简体" w:hAnsi="方正小标宋简体" w:eastAsia="方正小标宋简体" w:cs="方正小标宋简体"/>
          <w:color w:val="000000"/>
          <w:kern w:val="0"/>
          <w:sz w:val="44"/>
          <w:szCs w:val="44"/>
          <w:highlight w:val="none"/>
          <w:shd w:val="clear" w:color="auto" w:fill="FFFFFF"/>
          <w:lang w:val="en-US" w:eastAsia="zh-CN"/>
        </w:rPr>
      </w:pPr>
      <w:r>
        <w:rPr>
          <w:rFonts w:hint="eastAsia" w:ascii="方正小标宋简体" w:hAnsi="方正小标宋简体" w:eastAsia="方正小标宋简体" w:cs="方正小标宋简体"/>
          <w:color w:val="000000"/>
          <w:kern w:val="0"/>
          <w:sz w:val="44"/>
          <w:szCs w:val="44"/>
          <w:highlight w:val="none"/>
          <w:shd w:val="clear" w:color="auto" w:fill="FFFFFF"/>
          <w:lang w:val="en-US" w:eastAsia="zh-CN"/>
        </w:rPr>
        <w:t>部门预算项目支出绩效自评表（2023年度）</w:t>
      </w:r>
    </w:p>
    <w:p>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Style w:val="16"/>
          <w:rFonts w:ascii="黑体" w:hAnsi="黑体" w:eastAsia="黑体"/>
          <w:b w:val="0"/>
        </w:rPr>
      </w:pPr>
      <w:bookmarkStart w:id="64" w:name="_Toc15396618"/>
    </w:p>
    <w:p>
      <w:pPr>
        <w:pStyle w:val="2"/>
      </w:pPr>
    </w:p>
    <w:tbl>
      <w:tblPr>
        <w:tblStyle w:val="12"/>
        <w:tblW w:w="8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35"/>
        <w:gridCol w:w="914"/>
        <w:gridCol w:w="1149"/>
        <w:gridCol w:w="396"/>
        <w:gridCol w:w="825"/>
        <w:gridCol w:w="396"/>
        <w:gridCol w:w="846"/>
        <w:gridCol w:w="486"/>
        <w:gridCol w:w="486"/>
        <w:gridCol w:w="1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8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51030022T000007410359-工商联、民主党派、知联会--异地招商调研重点工作经费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自贡市工商联合会部门</w:t>
            </w:r>
          </w:p>
        </w:tc>
        <w:tc>
          <w:tcPr>
            <w:tcW w:w="799"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7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协助政府管理肯服务非公有制经济；促进行业协会商会改革发展；参与协调劳动关系，协同社会治理，促进社会和谐稳定。完成异地商会招商引资工作。</w:t>
            </w:r>
          </w:p>
        </w:tc>
        <w:tc>
          <w:tcPr>
            <w:tcW w:w="29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年13项系统内重点及一般性调研课题。配合省工商联莅市调研2次；组织700余户企业先后4次参与全联民营企业季度运行状况网络调查；在全省工商联系统调查研究暨参政议政工作会议上作题为《三强化三着力，提升参政议政工作质效》经验发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18.43</w:t>
            </w:r>
          </w:p>
        </w:tc>
        <w:tc>
          <w:tcPr>
            <w:tcW w:w="1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18.43</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18.43</w:t>
            </w:r>
          </w:p>
        </w:tc>
        <w:tc>
          <w:tcPr>
            <w:tcW w:w="1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18.43</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重要调研成果数量</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报送社情民意信息数量</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完成调研报告数量</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提高参政议政影响力</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省级组织传达率</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社会服务对象满意度</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13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年我单位较好地编制和执行了单位预算工商联、民主党派、知联会--异地招商调研重点工作经费项目支出绩效，根据《部门预算项目支出绩效自评表（2023年度）》评分，综合得分100分，实现了既定预算绩效目标，各项工作顺利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对于此项绩效管理工作经验不足，项目的部分成果无法 用量化指标形式表示，在绩效考评指标的设计上，有待完善。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进一步加强预算绩效目标管理相关规章制度学习，提升预算资金管理和使用水平。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1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项目负责人：万茂琳</w:t>
            </w:r>
          </w:p>
        </w:tc>
        <w:tc>
          <w:tcPr>
            <w:tcW w:w="42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财务负责人：黄洪宇</w:t>
            </w:r>
          </w:p>
        </w:tc>
      </w:tr>
    </w:tbl>
    <w:p>
      <w:pPr>
        <w:pStyle w:val="2"/>
        <w:rPr>
          <w:rStyle w:val="16"/>
          <w:rFonts w:ascii="黑体" w:hAnsi="黑体" w:eastAsia="黑体"/>
          <w:b w:val="0"/>
        </w:rPr>
      </w:pPr>
    </w:p>
    <w:tbl>
      <w:tblPr>
        <w:tblStyle w:val="12"/>
        <w:tblW w:w="8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34"/>
        <w:gridCol w:w="913"/>
        <w:gridCol w:w="1126"/>
        <w:gridCol w:w="396"/>
        <w:gridCol w:w="849"/>
        <w:gridCol w:w="396"/>
        <w:gridCol w:w="846"/>
        <w:gridCol w:w="486"/>
        <w:gridCol w:w="486"/>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8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51030022Y000000320983-市工商联执委会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自贡市工商联合会部门</w:t>
            </w:r>
          </w:p>
        </w:tc>
        <w:tc>
          <w:tcPr>
            <w:tcW w:w="78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7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参与政治协商，发挥民主监督作用，积极参政议政。</w:t>
            </w:r>
          </w:p>
        </w:tc>
        <w:tc>
          <w:tcPr>
            <w:tcW w:w="29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印发《自贡市工商联（总商会）联系区县工商联、直属商会、执常委工作制度》，加强工商联系统内的交流联系。开展“五好”县级工商联互学互促活动，组织召开“四好”商会观摩拉练活动暨“枫桥式”商会建设推进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召开会议次数</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出列席会议人数</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活动参与人数</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省级组织传达率</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提高参政议政影响力</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社会服务对象满意度</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613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2023年我单位较好地编制和执行了单位预算市工商联执委会项目支出绩效，根据《部门预算项目支出绩效自评表（2023年度）》评分，综合得分98分，实现了既定预算绩效目标，各项工作顺利完成。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对于此项绩效管理工作经验不足，项目的部分成果无法 用量化指标形式表示，在绩效考评指标的设计上，有待完善。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进一步加强预算绩效目标管理相关规章制度学习，提升预算资金管理和使用水平。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0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项目负责人：万茂琳</w:t>
            </w:r>
          </w:p>
        </w:tc>
        <w:tc>
          <w:tcPr>
            <w:tcW w:w="42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财务负责人：黄洪宇</w:t>
            </w:r>
          </w:p>
        </w:tc>
      </w:tr>
    </w:tbl>
    <w:p>
      <w:pPr>
        <w:pStyle w:val="2"/>
        <w:rPr>
          <w:rStyle w:val="16"/>
          <w:rFonts w:ascii="黑体" w:hAnsi="黑体" w:eastAsia="黑体"/>
          <w:b w:val="0"/>
        </w:rPr>
      </w:pPr>
    </w:p>
    <w:tbl>
      <w:tblPr>
        <w:tblStyle w:val="12"/>
        <w:tblW w:w="8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34"/>
        <w:gridCol w:w="913"/>
        <w:gridCol w:w="1126"/>
        <w:gridCol w:w="396"/>
        <w:gridCol w:w="849"/>
        <w:gridCol w:w="396"/>
        <w:gridCol w:w="846"/>
        <w:gridCol w:w="486"/>
        <w:gridCol w:w="486"/>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8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51030022Y000000320983-市工商联执委会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1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自贡市工商联合会部门</w:t>
            </w:r>
          </w:p>
        </w:tc>
        <w:tc>
          <w:tcPr>
            <w:tcW w:w="78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7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参与政治协商，发挥民主监督作用，积极参政议政。</w:t>
            </w:r>
          </w:p>
        </w:tc>
        <w:tc>
          <w:tcPr>
            <w:tcW w:w="29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印发《自贡市工商联（总商会）联系区县工商联、直属商会、执常委工作制度》，加强工商联系统内的交流联系。开展“五好”县级工商联互学互促活动，组织召开“四好”商会观摩拉练活动暨“枫桥式”商会建设推进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召开会议次数</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出列席会议人数</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活动参与人数</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省级组织传达率</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提高参政议政影响力</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社会服务对象满意度</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613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2023年我单位较好地编制和执行了单位预算市工商联执委会项目支出绩效，根据《部门预算项目支出绩效自评表（2023年度）》评分，综合得分98分，实现了既定预算绩效目标，各项工作顺利完成。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对于此项绩效管理工作经验不足，项目的部分成果无法 用量化指标形式表示，在绩效考评指标的设计上，有待完善。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进一步加强预算绩效目标管理相关规章制度学习，提升预算资金管理和使用水平。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40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项目负责人：万茂琳</w:t>
            </w:r>
          </w:p>
        </w:tc>
        <w:tc>
          <w:tcPr>
            <w:tcW w:w="42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财务负责人：黄洪宇</w:t>
            </w:r>
          </w:p>
        </w:tc>
      </w:tr>
    </w:tbl>
    <w:p>
      <w:pPr>
        <w:pStyle w:val="2"/>
        <w:rPr>
          <w:rStyle w:val="16"/>
          <w:rFonts w:ascii="黑体" w:hAnsi="黑体" w:eastAsia="黑体"/>
          <w:b w:val="0"/>
        </w:rPr>
      </w:pPr>
    </w:p>
    <w:tbl>
      <w:tblPr>
        <w:tblStyle w:val="12"/>
        <w:tblW w:w="83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60"/>
        <w:gridCol w:w="934"/>
        <w:gridCol w:w="1154"/>
        <w:gridCol w:w="396"/>
        <w:gridCol w:w="848"/>
        <w:gridCol w:w="396"/>
        <w:gridCol w:w="846"/>
        <w:gridCol w:w="486"/>
        <w:gridCol w:w="396"/>
        <w:gridCol w:w="12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83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0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51030022Y000000321216-市工商联非公经济人士理想信念教育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自贡市工商联合会部门</w:t>
            </w:r>
          </w:p>
        </w:tc>
        <w:tc>
          <w:tcPr>
            <w:tcW w:w="83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和改进非公有制经济人士思想政治工作。践行社会主义核心价值观，增强对中国特色社会主义的信念、对党和政府的信任、对企业发展的信心、对社会的信誉，自觉做好爱国敬业、守法经营、创业创新、回报社会的表率和践行亲清政商关系的典范。</w:t>
            </w:r>
          </w:p>
        </w:tc>
        <w:tc>
          <w:tcPr>
            <w:tcW w:w="29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0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把学习贯彻习近平新时代中国特色社会主义思想和党的二十大精神作为首要政治任务，深入学习习近平总书记来川视察重要指示精神，通过主题党日、学习参访、理想信念教育、“新盐商”大讲堂、沙龙座谈等形式引导广大民营经济人士听党话、跟党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1"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调研次数</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自我教育活动</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活动参与人数</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提高参政议政影响力</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省级组织传达率</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2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7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年我单位较好地编制和执行了单位预算市工商联非公经济人士理想信念教育项目支出绩效，根据《部门预算项目支出绩效自评表（2023年度）》评分，综合得分98分，实现了既定预算绩效目标，各项工作顺利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7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对于此项绩效管理工作经验不足，项目的部分成果无法 用量化指标形式表示，在绩效考评指标的设计上，有待完善。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7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进一步加强预算绩效目标管理相关规章制度学习，提升预算资金管理和使用水平。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项目负责人：万茂琳</w:t>
            </w:r>
          </w:p>
        </w:tc>
        <w:tc>
          <w:tcPr>
            <w:tcW w:w="42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财务负责人：黄洪宇</w:t>
            </w:r>
          </w:p>
        </w:tc>
      </w:tr>
    </w:tbl>
    <w:p>
      <w:pPr>
        <w:pStyle w:val="2"/>
        <w:rPr>
          <w:rStyle w:val="16"/>
          <w:rFonts w:ascii="黑体" w:hAnsi="黑体" w:eastAsia="黑体"/>
          <w:b w:val="0"/>
        </w:rPr>
      </w:pPr>
    </w:p>
    <w:tbl>
      <w:tblPr>
        <w:tblStyle w:val="12"/>
        <w:tblW w:w="83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47"/>
        <w:gridCol w:w="848"/>
        <w:gridCol w:w="1090"/>
        <w:gridCol w:w="396"/>
        <w:gridCol w:w="848"/>
        <w:gridCol w:w="756"/>
        <w:gridCol w:w="846"/>
        <w:gridCol w:w="486"/>
        <w:gridCol w:w="486"/>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83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5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81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51030023T000009461578-2023年省级财政重大项目招商引资激励奖补资金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5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自贡市工商联合会部门</w:t>
            </w:r>
          </w:p>
        </w:tc>
        <w:tc>
          <w:tcPr>
            <w:tcW w:w="82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自贡市工商联合会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9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围绕项目招引落地开展的商务，招商投资推介活动等商事服务。</w:t>
            </w:r>
          </w:p>
        </w:tc>
        <w:tc>
          <w:tcPr>
            <w:tcW w:w="28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81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有序实施内引外联。报送招商引资项目线索16条，主要领导带队招商10次。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130.00</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130.00</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项目推介走访企业会员</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论坛及圆桌会议次数</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活动参与人数</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22000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提高参政议政影响力</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招商引资宣传</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元/人·次</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社会服务对象满意度</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3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年我单位较好地编制和执行了单位预算2023年省级财政重大项目招商引资激励奖补资金项目支出绩效，根据《部门预算项目支出绩效自评表（2023年度）》评分，综合得分98分，实现了既定预算绩效目标，各项工作顺利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对于此项绩效管理工作经验不足，项目的部分成果无法 用量化指标形式表示，在绩效考评指标的设计上，有待完善。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进一步加强预算绩效目标管理相关规章制度学习，提升预算资金管理和使用水平。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8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项目负责人：万茂琳</w:t>
            </w:r>
          </w:p>
        </w:tc>
        <w:tc>
          <w:tcPr>
            <w:tcW w:w="44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财务负责人：黄洪宇</w:t>
            </w:r>
          </w:p>
        </w:tc>
      </w:tr>
    </w:tbl>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pStyle w:val="2"/>
        <w:rPr>
          <w:rStyle w:val="16"/>
          <w:rFonts w:ascii="黑体" w:hAnsi="黑体" w:eastAsia="黑体"/>
          <w:b w:val="0"/>
        </w:rPr>
      </w:pPr>
    </w:p>
    <w:p>
      <w:pPr>
        <w:spacing w:line="600" w:lineRule="exact"/>
        <w:jc w:val="center"/>
        <w:outlineLvl w:val="0"/>
        <w:rPr>
          <w:rStyle w:val="16"/>
          <w:rFonts w:ascii="黑体" w:hAnsi="黑体" w:eastAsia="黑体"/>
          <w:b w:val="0"/>
        </w:rPr>
      </w:pPr>
      <w:bookmarkStart w:id="65" w:name="_Toc3613"/>
      <w:r>
        <w:rPr>
          <w:rFonts w:hint="eastAsia" w:ascii="黑体" w:hAnsi="黑体" w:eastAsia="黑体"/>
          <w:color w:val="000000"/>
          <w:sz w:val="44"/>
          <w:szCs w:val="44"/>
        </w:rPr>
        <w:t>第</w:t>
      </w:r>
      <w:r>
        <w:rPr>
          <w:rStyle w:val="16"/>
          <w:rFonts w:hint="eastAsia" w:ascii="黑体" w:hAnsi="黑体" w:eastAsia="黑体"/>
          <w:b w:val="0"/>
        </w:rPr>
        <w:t>五部分</w:t>
      </w:r>
      <w:r>
        <w:rPr>
          <w:rStyle w:val="16"/>
          <w:rFonts w:ascii="黑体" w:hAnsi="黑体" w:eastAsia="黑体"/>
          <w:b w:val="0"/>
        </w:rPr>
        <w:t xml:space="preserve"> </w:t>
      </w:r>
      <w:r>
        <w:rPr>
          <w:rStyle w:val="16"/>
          <w:rFonts w:hint="eastAsia" w:ascii="黑体" w:hAnsi="黑体" w:eastAsia="黑体"/>
          <w:b w:val="0"/>
        </w:rPr>
        <w:t>附表</w:t>
      </w:r>
      <w:bookmarkEnd w:id="61"/>
      <w:bookmarkEnd w:id="64"/>
      <w:bookmarkEnd w:id="65"/>
    </w:p>
    <w:p>
      <w:pPr>
        <w:spacing w:line="600" w:lineRule="exact"/>
        <w:jc w:val="center"/>
        <w:outlineLvl w:val="0"/>
        <w:rPr>
          <w:rFonts w:ascii="仿宋" w:hAnsi="仿宋" w:eastAsia="仿宋"/>
          <w:b/>
          <w:color w:val="000000"/>
          <w:sz w:val="44"/>
          <w:szCs w:val="44"/>
        </w:rPr>
      </w:pPr>
    </w:p>
    <w:p>
      <w:pPr>
        <w:pStyle w:val="4"/>
        <w:rPr>
          <w:rFonts w:ascii="仿宋" w:hAnsi="仿宋" w:eastAsia="仿宋"/>
          <w:color w:val="auto"/>
          <w:highlight w:val="none"/>
        </w:rPr>
      </w:pPr>
      <w:bookmarkStart w:id="66" w:name="_Toc21455"/>
      <w:r>
        <w:rPr>
          <w:rFonts w:hint="eastAsia" w:ascii="仿宋" w:hAnsi="仿宋" w:eastAsia="仿宋"/>
          <w:b w:val="0"/>
          <w:color w:val="auto"/>
          <w:highlight w:val="none"/>
        </w:rPr>
        <w:t>一、收</w:t>
      </w:r>
      <w:r>
        <w:rPr>
          <w:rStyle w:val="20"/>
          <w:rFonts w:hint="eastAsia" w:ascii="仿宋" w:hAnsi="仿宋" w:eastAsia="仿宋"/>
          <w:b w:val="0"/>
          <w:bCs w:val="0"/>
          <w:color w:val="auto"/>
          <w:highlight w:val="none"/>
        </w:rPr>
        <w:t>入支出决算总表</w:t>
      </w:r>
      <w:bookmarkEnd w:id="66"/>
    </w:p>
    <w:p>
      <w:pPr>
        <w:pStyle w:val="4"/>
        <w:rPr>
          <w:rFonts w:ascii="仿宋" w:hAnsi="仿宋" w:eastAsia="仿宋"/>
          <w:color w:val="auto"/>
          <w:highlight w:val="none"/>
        </w:rPr>
      </w:pPr>
      <w:bookmarkStart w:id="67" w:name="_Toc19902"/>
      <w:bookmarkStart w:id="68" w:name="_Toc15396620"/>
      <w:r>
        <w:rPr>
          <w:rFonts w:hint="eastAsia" w:ascii="仿宋" w:hAnsi="仿宋" w:eastAsia="仿宋"/>
          <w:b w:val="0"/>
          <w:color w:val="auto"/>
          <w:highlight w:val="none"/>
        </w:rPr>
        <w:t>二、收</w:t>
      </w:r>
      <w:r>
        <w:rPr>
          <w:rStyle w:val="20"/>
          <w:rFonts w:hint="eastAsia" w:ascii="仿宋" w:hAnsi="仿宋" w:eastAsia="仿宋"/>
          <w:b w:val="0"/>
          <w:bCs w:val="0"/>
          <w:color w:val="auto"/>
          <w:highlight w:val="none"/>
        </w:rPr>
        <w:t>入决算表</w:t>
      </w:r>
      <w:bookmarkEnd w:id="67"/>
      <w:bookmarkEnd w:id="68"/>
    </w:p>
    <w:p>
      <w:pPr>
        <w:pStyle w:val="4"/>
        <w:rPr>
          <w:rFonts w:ascii="仿宋" w:hAnsi="仿宋" w:eastAsia="仿宋"/>
          <w:color w:val="auto"/>
          <w:highlight w:val="none"/>
        </w:rPr>
      </w:pPr>
      <w:bookmarkStart w:id="69" w:name="_Toc5842"/>
      <w:bookmarkStart w:id="70" w:name="_Toc15396621"/>
      <w:r>
        <w:rPr>
          <w:rStyle w:val="20"/>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0"/>
          <w:rFonts w:hint="eastAsia" w:ascii="仿宋" w:hAnsi="仿宋" w:eastAsia="仿宋"/>
          <w:b w:val="0"/>
          <w:bCs w:val="0"/>
          <w:color w:val="auto"/>
          <w:highlight w:val="none"/>
        </w:rPr>
        <w:t>出决算表</w:t>
      </w:r>
      <w:bookmarkEnd w:id="69"/>
      <w:bookmarkEnd w:id="70"/>
    </w:p>
    <w:p>
      <w:pPr>
        <w:pStyle w:val="4"/>
        <w:rPr>
          <w:rFonts w:ascii="仿宋" w:hAnsi="仿宋" w:eastAsia="仿宋"/>
          <w:b w:val="0"/>
          <w:color w:val="auto"/>
          <w:highlight w:val="none"/>
        </w:rPr>
      </w:pPr>
      <w:bookmarkStart w:id="71" w:name="_Toc3877"/>
      <w:bookmarkStart w:id="72" w:name="_Toc15396622"/>
      <w:r>
        <w:rPr>
          <w:rStyle w:val="20"/>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政拨款收入支出决算总表</w:t>
      </w:r>
      <w:bookmarkEnd w:id="71"/>
      <w:bookmarkEnd w:id="72"/>
    </w:p>
    <w:p>
      <w:pPr>
        <w:pStyle w:val="4"/>
        <w:rPr>
          <w:rStyle w:val="20"/>
          <w:rFonts w:ascii="仿宋" w:hAnsi="仿宋" w:eastAsia="仿宋"/>
          <w:b w:val="0"/>
          <w:bCs w:val="0"/>
          <w:color w:val="auto"/>
          <w:highlight w:val="none"/>
        </w:rPr>
      </w:pPr>
      <w:bookmarkStart w:id="73" w:name="_Toc750"/>
      <w:bookmarkStart w:id="74" w:name="_Toc15396623"/>
      <w:r>
        <w:rPr>
          <w:rStyle w:val="20"/>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政拨款支出决算明细表</w:t>
      </w:r>
      <w:bookmarkEnd w:id="73"/>
      <w:bookmarkEnd w:id="74"/>
      <w:bookmarkStart w:id="75" w:name="_Toc15396624"/>
    </w:p>
    <w:p>
      <w:pPr>
        <w:pStyle w:val="4"/>
        <w:rPr>
          <w:rFonts w:ascii="仿宋" w:hAnsi="仿宋" w:eastAsia="仿宋"/>
          <w:color w:val="auto"/>
          <w:highlight w:val="none"/>
        </w:rPr>
      </w:pPr>
      <w:bookmarkStart w:id="76" w:name="_Toc19194"/>
      <w:r>
        <w:rPr>
          <w:rStyle w:val="20"/>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般公共预算财政拨款支出决算表</w:t>
      </w:r>
      <w:bookmarkEnd w:id="75"/>
      <w:bookmarkEnd w:id="76"/>
    </w:p>
    <w:p>
      <w:pPr>
        <w:pStyle w:val="4"/>
        <w:rPr>
          <w:rFonts w:ascii="仿宋" w:hAnsi="仿宋" w:eastAsia="仿宋"/>
          <w:color w:val="auto"/>
          <w:highlight w:val="none"/>
        </w:rPr>
      </w:pPr>
      <w:bookmarkStart w:id="77" w:name="_Toc15396625"/>
      <w:bookmarkStart w:id="78" w:name="_Toc7054"/>
      <w:r>
        <w:rPr>
          <w:rStyle w:val="20"/>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般公共预算财政拨款支出决算明细表</w:t>
      </w:r>
      <w:bookmarkEnd w:id="77"/>
      <w:bookmarkEnd w:id="78"/>
    </w:p>
    <w:p>
      <w:pPr>
        <w:pStyle w:val="4"/>
        <w:rPr>
          <w:rFonts w:ascii="仿宋" w:hAnsi="仿宋" w:eastAsia="仿宋"/>
          <w:color w:val="auto"/>
          <w:highlight w:val="none"/>
        </w:rPr>
      </w:pPr>
      <w:bookmarkStart w:id="79" w:name="_Toc15396626"/>
      <w:bookmarkStart w:id="80" w:name="_Toc14041"/>
      <w:r>
        <w:rPr>
          <w:rStyle w:val="20"/>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般公共预算财政拨款基本支出决算表</w:t>
      </w:r>
      <w:bookmarkEnd w:id="79"/>
      <w:bookmarkEnd w:id="80"/>
    </w:p>
    <w:p>
      <w:pPr>
        <w:pStyle w:val="4"/>
        <w:rPr>
          <w:rFonts w:ascii="仿宋" w:hAnsi="仿宋" w:eastAsia="仿宋"/>
          <w:color w:val="auto"/>
          <w:highlight w:val="none"/>
        </w:rPr>
      </w:pPr>
      <w:bookmarkStart w:id="81" w:name="_Toc15396627"/>
      <w:bookmarkStart w:id="82" w:name="_Toc26706"/>
      <w:r>
        <w:rPr>
          <w:rStyle w:val="20"/>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般公共预算财政拨款项目支出决算表</w:t>
      </w:r>
      <w:bookmarkEnd w:id="81"/>
      <w:bookmarkEnd w:id="82"/>
    </w:p>
    <w:p>
      <w:pPr>
        <w:pStyle w:val="4"/>
        <w:rPr>
          <w:rFonts w:hint="eastAsia" w:ascii="仿宋" w:hAnsi="仿宋" w:eastAsia="仿宋"/>
          <w:color w:val="auto"/>
          <w:highlight w:val="none"/>
          <w:lang w:eastAsia="zh-CN"/>
        </w:rPr>
      </w:pPr>
      <w:bookmarkStart w:id="83" w:name="_Toc15396628"/>
      <w:bookmarkStart w:id="84" w:name="_Toc2700"/>
      <w:r>
        <w:rPr>
          <w:rStyle w:val="20"/>
          <w:rFonts w:hint="eastAsia" w:ascii="仿宋" w:hAnsi="仿宋" w:eastAsia="仿宋"/>
          <w:b w:val="0"/>
          <w:bCs w:val="0"/>
          <w:color w:val="auto"/>
          <w:highlight w:val="none"/>
        </w:rPr>
        <w:t>十、</w:t>
      </w:r>
      <w:bookmarkEnd w:id="83"/>
      <w:r>
        <w:rPr>
          <w:rFonts w:hint="eastAsia" w:ascii="仿宋" w:hAnsi="仿宋" w:eastAsia="仿宋"/>
          <w:b w:val="0"/>
          <w:color w:val="auto"/>
          <w:highlight w:val="none"/>
        </w:rPr>
        <w:t>政</w:t>
      </w:r>
      <w:r>
        <w:rPr>
          <w:rStyle w:val="20"/>
          <w:rFonts w:hint="eastAsia" w:ascii="仿宋" w:hAnsi="仿宋" w:eastAsia="仿宋"/>
          <w:b w:val="0"/>
          <w:bCs w:val="0"/>
          <w:color w:val="auto"/>
          <w:highlight w:val="none"/>
        </w:rPr>
        <w:t>府性基金预算财政拨款收入支出决算表</w:t>
      </w:r>
      <w:bookmarkEnd w:id="84"/>
      <w:r>
        <w:rPr>
          <w:rStyle w:val="20"/>
          <w:rFonts w:hint="eastAsia" w:ascii="仿宋" w:hAnsi="仿宋" w:eastAsia="仿宋"/>
          <w:b w:val="0"/>
          <w:bCs w:val="0"/>
          <w:color w:val="auto"/>
          <w:highlight w:val="none"/>
          <w:lang w:eastAsia="zh-CN"/>
        </w:rPr>
        <w:t>（本表无数据）</w:t>
      </w:r>
    </w:p>
    <w:p>
      <w:pPr>
        <w:pStyle w:val="4"/>
        <w:rPr>
          <w:rFonts w:ascii="仿宋" w:hAnsi="仿宋" w:eastAsia="仿宋"/>
          <w:color w:val="auto"/>
          <w:highlight w:val="none"/>
        </w:rPr>
      </w:pPr>
      <w:bookmarkStart w:id="85" w:name="_Toc15396629"/>
      <w:bookmarkStart w:id="86" w:name="_Toc32218"/>
      <w:r>
        <w:rPr>
          <w:rStyle w:val="20"/>
          <w:rFonts w:hint="eastAsia" w:ascii="仿宋" w:hAnsi="仿宋" w:eastAsia="仿宋"/>
          <w:b w:val="0"/>
          <w:bCs w:val="0"/>
          <w:color w:val="auto"/>
          <w:highlight w:val="none"/>
        </w:rPr>
        <w:t>十一、</w:t>
      </w:r>
      <w:bookmarkEnd w:id="85"/>
      <w:r>
        <w:rPr>
          <w:rFonts w:hint="eastAsia" w:ascii="仿宋" w:hAnsi="仿宋" w:eastAsia="仿宋"/>
          <w:b w:val="0"/>
          <w:color w:val="auto"/>
          <w:highlight w:val="none"/>
        </w:rPr>
        <w:t>国</w:t>
      </w:r>
      <w:r>
        <w:rPr>
          <w:rStyle w:val="20"/>
          <w:rFonts w:hint="eastAsia" w:ascii="仿宋" w:hAnsi="仿宋" w:eastAsia="仿宋"/>
          <w:b w:val="0"/>
          <w:bCs w:val="0"/>
          <w:color w:val="auto"/>
          <w:highlight w:val="none"/>
        </w:rPr>
        <w:t>有资本经营预算</w:t>
      </w:r>
      <w:r>
        <w:rPr>
          <w:rStyle w:val="20"/>
          <w:rFonts w:hint="eastAsia" w:ascii="仿宋" w:hAnsi="仿宋" w:eastAsia="仿宋"/>
          <w:b w:val="0"/>
          <w:bCs w:val="0"/>
          <w:color w:val="auto"/>
          <w:highlight w:val="none"/>
          <w:lang w:eastAsia="zh-CN"/>
        </w:rPr>
        <w:t>财政拨款收入</w:t>
      </w:r>
      <w:r>
        <w:rPr>
          <w:rStyle w:val="20"/>
          <w:rFonts w:hint="eastAsia" w:ascii="仿宋" w:hAnsi="仿宋" w:eastAsia="仿宋"/>
          <w:b w:val="0"/>
          <w:bCs w:val="0"/>
          <w:color w:val="auto"/>
          <w:highlight w:val="none"/>
        </w:rPr>
        <w:t>支出决算表</w:t>
      </w:r>
      <w:bookmarkEnd w:id="86"/>
      <w:r>
        <w:rPr>
          <w:rStyle w:val="20"/>
          <w:rFonts w:hint="eastAsia" w:ascii="仿宋" w:hAnsi="仿宋" w:eastAsia="仿宋"/>
          <w:b w:val="0"/>
          <w:bCs w:val="0"/>
          <w:color w:val="auto"/>
          <w:highlight w:val="none"/>
          <w:lang w:eastAsia="zh-CN"/>
        </w:rPr>
        <w:t>（本表无数据）</w:t>
      </w:r>
    </w:p>
    <w:p>
      <w:pPr>
        <w:pStyle w:val="4"/>
        <w:rPr>
          <w:rFonts w:ascii="仿宋" w:hAnsi="仿宋" w:eastAsia="仿宋"/>
          <w:color w:val="auto"/>
          <w:highlight w:val="none"/>
        </w:rPr>
      </w:pPr>
      <w:bookmarkStart w:id="87" w:name="_Toc15396630"/>
      <w:bookmarkStart w:id="88" w:name="_Toc23596"/>
      <w:r>
        <w:rPr>
          <w:rStyle w:val="20"/>
          <w:rFonts w:hint="eastAsia" w:ascii="仿宋" w:hAnsi="仿宋" w:eastAsia="仿宋"/>
          <w:b w:val="0"/>
          <w:bCs w:val="0"/>
          <w:color w:val="auto"/>
          <w:highlight w:val="none"/>
        </w:rPr>
        <w:t>十二、</w:t>
      </w:r>
      <w:bookmarkEnd w:id="87"/>
      <w:r>
        <w:rPr>
          <w:rStyle w:val="20"/>
          <w:rFonts w:hint="eastAsia" w:ascii="仿宋" w:hAnsi="仿宋" w:eastAsia="仿宋"/>
          <w:b w:val="0"/>
          <w:bCs w:val="0"/>
          <w:color w:val="auto"/>
          <w:highlight w:val="none"/>
          <w:lang w:eastAsia="zh-CN"/>
        </w:rPr>
        <w:t>国有资本经营预算财政拨款支出决算表</w:t>
      </w:r>
      <w:bookmarkEnd w:id="88"/>
      <w:r>
        <w:rPr>
          <w:rStyle w:val="20"/>
          <w:rFonts w:hint="eastAsia" w:ascii="仿宋" w:hAnsi="仿宋" w:eastAsia="仿宋"/>
          <w:b w:val="0"/>
          <w:bCs w:val="0"/>
          <w:color w:val="auto"/>
          <w:highlight w:val="none"/>
          <w:lang w:eastAsia="zh-CN"/>
        </w:rPr>
        <w:t>（本表无数据）</w:t>
      </w:r>
    </w:p>
    <w:p>
      <w:pPr>
        <w:pStyle w:val="4"/>
        <w:rPr>
          <w:rFonts w:hint="eastAsia" w:ascii="仿宋" w:hAnsi="仿宋" w:eastAsia="仿宋"/>
          <w:b w:val="0"/>
          <w:color w:val="000000"/>
        </w:rPr>
      </w:pPr>
      <w:bookmarkStart w:id="89" w:name="_Toc15396631"/>
      <w:bookmarkStart w:id="90" w:name="_Toc1521"/>
      <w:r>
        <w:rPr>
          <w:rStyle w:val="20"/>
          <w:rFonts w:hint="eastAsia" w:ascii="仿宋" w:hAnsi="仿宋" w:eastAsia="仿宋"/>
          <w:b w:val="0"/>
          <w:bCs w:val="0"/>
          <w:color w:val="auto"/>
          <w:highlight w:val="none"/>
        </w:rPr>
        <w:t>十三、</w:t>
      </w:r>
      <w:bookmarkEnd w:id="89"/>
      <w:r>
        <w:rPr>
          <w:rStyle w:val="20"/>
          <w:rFonts w:hint="eastAsia" w:ascii="仿宋" w:hAnsi="仿宋" w:eastAsia="仿宋"/>
          <w:b w:val="0"/>
          <w:bCs w:val="0"/>
          <w:color w:val="auto"/>
          <w:highlight w:val="none"/>
          <w:lang w:eastAsia="zh-CN"/>
        </w:rPr>
        <w:t>财政拨款“三公”经费支出决算表</w:t>
      </w:r>
      <w:bookmarkEnd w:id="90"/>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4078C"/>
    <w:rsid w:val="06D96529"/>
    <w:rsid w:val="08173961"/>
    <w:rsid w:val="096E0812"/>
    <w:rsid w:val="0AB9552D"/>
    <w:rsid w:val="0B2C649E"/>
    <w:rsid w:val="0C71695B"/>
    <w:rsid w:val="11AA3C53"/>
    <w:rsid w:val="1AB102B0"/>
    <w:rsid w:val="3E4169FF"/>
    <w:rsid w:val="3F9A05DB"/>
    <w:rsid w:val="44E516B2"/>
    <w:rsid w:val="47BD0CAB"/>
    <w:rsid w:val="56774470"/>
    <w:rsid w:val="5794150E"/>
    <w:rsid w:val="5B394EC5"/>
    <w:rsid w:val="5D3E75DF"/>
    <w:rsid w:val="6504078C"/>
    <w:rsid w:val="6B769DA4"/>
    <w:rsid w:val="6C29058E"/>
    <w:rsid w:val="726E3979"/>
    <w:rsid w:val="747D4DEF"/>
    <w:rsid w:val="788E4A9C"/>
    <w:rsid w:val="79B788E9"/>
    <w:rsid w:val="7FEB6C16"/>
    <w:rsid w:val="B7DF065C"/>
    <w:rsid w:val="FEF74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24"/>
      <w:szCs w:val="20"/>
    </w:rPr>
  </w:style>
  <w:style w:type="paragraph" w:styleId="5">
    <w:name w:val="index 5"/>
    <w:basedOn w:val="1"/>
    <w:next w:val="1"/>
    <w:qFormat/>
    <w:uiPriority w:val="0"/>
    <w:pPr>
      <w:ind w:left="1680"/>
    </w:pPr>
  </w:style>
  <w:style w:type="paragraph" w:styleId="6">
    <w:name w:val="Body Text Indent"/>
    <w:basedOn w:val="1"/>
    <w:qFormat/>
    <w:uiPriority w:val="0"/>
    <w:pPr>
      <w:spacing w:line="560" w:lineRule="exact"/>
      <w:ind w:firstLine="640" w:firstLineChars="200"/>
    </w:pPr>
  </w:style>
  <w:style w:type="paragraph" w:styleId="7">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8">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9">
    <w:name w:val="toc 1"/>
    <w:basedOn w:val="1"/>
    <w:next w:val="1"/>
    <w:unhideWhenUsed/>
    <w:qFormat/>
    <w:uiPriority w:val="39"/>
    <w:pPr>
      <w:spacing w:before="120"/>
      <w:jc w:val="left"/>
    </w:pPr>
    <w:rPr>
      <w:rFonts w:ascii="等线" w:eastAsia="等线"/>
      <w:b/>
      <w:bCs/>
      <w:i/>
      <w:iCs/>
      <w:sz w:val="24"/>
    </w:rPr>
  </w:style>
  <w:style w:type="paragraph" w:styleId="10">
    <w:name w:val="toc 2"/>
    <w:basedOn w:val="1"/>
    <w:next w:val="1"/>
    <w:unhideWhenUsed/>
    <w:qFormat/>
    <w:uiPriority w:val="39"/>
    <w:pPr>
      <w:spacing w:before="120"/>
      <w:ind w:left="300"/>
      <w:jc w:val="left"/>
    </w:pPr>
    <w:rPr>
      <w:rFonts w:ascii="等线" w:eastAsia="等线"/>
      <w:b/>
      <w:bCs/>
      <w:sz w:val="22"/>
      <w:szCs w:val="22"/>
    </w:rPr>
  </w:style>
  <w:style w:type="paragraph" w:styleId="11">
    <w:name w:val="Body Text First Indent 2"/>
    <w:basedOn w:val="6"/>
    <w:next w:val="5"/>
    <w:qFormat/>
    <w:uiPriority w:val="0"/>
    <w:pPr>
      <w:spacing w:after="120" w:line="240" w:lineRule="auto"/>
      <w:ind w:left="420" w:leftChars="200" w:firstLine="420"/>
    </w:pPr>
  </w:style>
  <w:style w:type="character" w:styleId="14">
    <w:name w:val="Strong"/>
    <w:basedOn w:val="13"/>
    <w:qFormat/>
    <w:uiPriority w:val="99"/>
    <w:rPr>
      <w:rFonts w:cs="Times New Roman"/>
      <w:b/>
    </w:rPr>
  </w:style>
  <w:style w:type="character" w:styleId="15">
    <w:name w:val="Hyperlink"/>
    <w:unhideWhenUsed/>
    <w:qFormat/>
    <w:uiPriority w:val="99"/>
    <w:rPr>
      <w:color w:val="0000FF"/>
      <w:u w:val="single"/>
    </w:rPr>
  </w:style>
  <w:style w:type="character" w:customStyle="1" w:styleId="16">
    <w:name w:val=" Char Char6"/>
    <w:basedOn w:val="13"/>
    <w:link w:val="3"/>
    <w:qFormat/>
    <w:locked/>
    <w:uiPriority w:val="9"/>
    <w:rPr>
      <w:b/>
      <w:bCs/>
      <w:kern w:val="44"/>
      <w:sz w:val="44"/>
      <w:szCs w:val="44"/>
    </w:rPr>
  </w:style>
  <w:style w:type="character" w:customStyle="1" w:styleId="17">
    <w:name w:val=" Char Char5"/>
    <w:basedOn w:val="13"/>
    <w:link w:val="4"/>
    <w:qFormat/>
    <w:locked/>
    <w:uiPriority w:val="9"/>
    <w:rPr>
      <w:rFonts w:ascii="Cambria" w:hAnsi="Cambria"/>
      <w:b/>
      <w:bCs/>
      <w:sz w:val="32"/>
      <w:szCs w:val="32"/>
    </w:rPr>
  </w:style>
  <w:style w:type="paragraph" w:customStyle="1" w:styleId="18">
    <w:name w:val="List Paragraph"/>
    <w:basedOn w:val="1"/>
    <w:qFormat/>
    <w:uiPriority w:val="34"/>
    <w:pPr>
      <w:ind w:firstLine="420" w:firstLineChars="200"/>
    </w:pPr>
  </w:style>
  <w:style w:type="paragraph" w:customStyle="1" w:styleId="1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0">
    <w:name w:val="标题 2 Char"/>
    <w:basedOn w:val="13"/>
    <w:link w:val="4"/>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37995;&#36130;\&#37995;&#36130;&#20854;&#20182;\2022&#24180;&#20915;&#31639;&#20844;&#24320;--&#27839;&#28393;\&#22270;&#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G:\&#37995;&#36130;\&#37995;&#36130;&#20854;&#20182;\2022&#24180;&#20915;&#31639;&#20844;&#24320;--&#27839;&#28393;\&#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37995;&#36130;\&#37995;&#36130;&#20854;&#20182;\2022&#24180;&#20915;&#31639;&#20844;&#24320;--&#27839;&#28393;\&#22270;&#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G:\&#37995;&#36130;\&#37995;&#36130;&#20854;&#20182;\2022&#24180;&#20915;&#31639;&#20844;&#24320;--&#27839;&#28393;\&#22270;&#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37995;&#36130;\&#37995;&#36130;&#20854;&#20182;\2022&#24180;&#20915;&#31639;&#20844;&#24320;--&#27839;&#28393;\&#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G:\&#37995;&#36130;\&#37995;&#36130;&#20854;&#20182;\2022&#24180;&#20915;&#31639;&#20844;&#24320;--&#27839;&#28393;\&#22270;&#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G:\&#37995;&#36130;\&#37995;&#36130;&#20854;&#20182;\2022&#24180;&#20915;&#31639;&#20844;&#24320;--&#27839;&#28393;\&#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[图表.xlsx]Sheet1!$A$29</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[图表.xlsx]Sheet1!$B$28:$C$28</c:f>
              <c:strCache>
                <c:ptCount val="2"/>
                <c:pt idx="0">
                  <c:v>收入</c:v>
                </c:pt>
                <c:pt idx="1">
                  <c:v>支出</c:v>
                </c:pt>
              </c:strCache>
            </c:strRef>
          </c:cat>
          <c:val>
            <c:numRef>
              <c:f>[图表.xlsx]Sheet1!$B$29:$C$29</c:f>
              <c:numCache>
                <c:formatCode>General</c:formatCode>
                <c:ptCount val="2"/>
                <c:pt idx="0">
                  <c:v>552.51</c:v>
                </c:pt>
                <c:pt idx="1">
                  <c:v>552.51</c:v>
                </c:pt>
              </c:numCache>
            </c:numRef>
          </c:val>
        </c:ser>
        <c:ser>
          <c:idx val="1"/>
          <c:order val="1"/>
          <c:tx>
            <c:strRef>
              <c:f>[图表.xlsx]Sheet1!$A$30</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[图表.xlsx]Sheet1!$B$28:$C$28</c:f>
              <c:strCache>
                <c:ptCount val="2"/>
                <c:pt idx="0">
                  <c:v>收入</c:v>
                </c:pt>
                <c:pt idx="1">
                  <c:v>支出</c:v>
                </c:pt>
              </c:strCache>
            </c:strRef>
          </c:cat>
          <c:val>
            <c:numRef>
              <c:f>[图表.xlsx]Sheet1!$B$30:$C$30</c:f>
              <c:numCache>
                <c:formatCode>General</c:formatCode>
                <c:ptCount val="2"/>
                <c:pt idx="0">
                  <c:v>686.04</c:v>
                </c:pt>
                <c:pt idx="1">
                  <c:v>686.04</c:v>
                </c:pt>
              </c:numCache>
            </c:numRef>
          </c:val>
        </c:ser>
        <c:dLbls>
          <c:showLegendKey val="0"/>
          <c:showVal val="1"/>
          <c:showCatName val="0"/>
          <c:showSerName val="0"/>
          <c:showPercent val="0"/>
          <c:showBubbleSize val="0"/>
        </c:dLbls>
        <c:gapWidth val="219"/>
        <c:overlap val="-27"/>
        <c:axId val="256154335"/>
        <c:axId val="397875379"/>
      </c:barChart>
      <c:catAx>
        <c:axId val="2561543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875379"/>
        <c:crosses val="autoZero"/>
        <c:auto val="1"/>
        <c:lblAlgn val="ctr"/>
        <c:lblOffset val="100"/>
        <c:noMultiLvlLbl val="0"/>
      </c:catAx>
      <c:valAx>
        <c:axId val="3978753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1543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Lbls>
            <c:dLbl>
              <c:idx val="0"/>
              <c:layout>
                <c:manualLayout>
                  <c:x val="-4.7060686159653e-7"/>
                  <c:y val="-0.2070511570420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[图表.xlsx]Sheet1!$A$2</c:f>
              <c:strCache>
                <c:ptCount val="1"/>
                <c:pt idx="0">
                  <c:v>一般公共预算拨款收入</c:v>
                </c:pt>
              </c:strCache>
            </c:strRef>
          </c:cat>
          <c:val>
            <c:numRef>
              <c:f>[图表.xlsx]Sheet1!$B$2</c:f>
              <c:numCache>
                <c:formatCode>General</c:formatCode>
                <c:ptCount val="1"/>
                <c:pt idx="0">
                  <c:v>686.04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841094672014295"/>
                  <c:y val="-0.1717560221914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601715534419588"/>
                  <c:y val="0.13824508068286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[图表.xlsx]Sheet1!$A$15:$A$17</c15:sqref>
                  </c15:fullRef>
                </c:ext>
              </c:extLst>
              <c:f>[图表.xlsx]Sheet1!$A$16:$A$17</c:f>
              <c:strCache>
                <c:ptCount val="2"/>
                <c:pt idx="0">
                  <c:v>基本支出</c:v>
                </c:pt>
                <c:pt idx="1">
                  <c:v>项目支出</c:v>
                </c:pt>
              </c:strCache>
            </c:strRef>
          </c:cat>
          <c:val>
            <c:numRef>
              <c:extLst>
                <c:ext xmlns:c15="http://schemas.microsoft.com/office/drawing/2012/chart" uri="{02D57815-91ED-43cb-92C2-25804820EDAC}">
                  <c15:fullRef>
                    <c15:sqref>Sheet1!$B$15:$B$17</c15:sqref>
                  </c15:fullRef>
                </c:ext>
              </c:extLst>
              <c:f>[图表.xlsx]Sheet1!$B$16:$B$17</c:f>
              <c:numCache>
                <c:formatCode>General</c:formatCode>
                <c:ptCount val="2"/>
                <c:pt idx="0">
                  <c:v>522.54</c:v>
                </c:pt>
                <c:pt idx="1">
                  <c:v>163.5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[图表.xlsx]Sheet1!$A$47</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[图表.xlsx]Sheet1!$B$46:$C$46</c:f>
              <c:strCache>
                <c:ptCount val="2"/>
                <c:pt idx="0">
                  <c:v>收入</c:v>
                </c:pt>
                <c:pt idx="1">
                  <c:v>支出</c:v>
                </c:pt>
              </c:strCache>
            </c:strRef>
          </c:cat>
          <c:val>
            <c:numRef>
              <c:f>[图表.xlsx]Sheet1!$B$47:$C$47</c:f>
              <c:numCache>
                <c:formatCode>General</c:formatCode>
                <c:ptCount val="2"/>
                <c:pt idx="0">
                  <c:v>552.51</c:v>
                </c:pt>
                <c:pt idx="1">
                  <c:v>552.51</c:v>
                </c:pt>
              </c:numCache>
            </c:numRef>
          </c:val>
        </c:ser>
        <c:ser>
          <c:idx val="1"/>
          <c:order val="1"/>
          <c:tx>
            <c:strRef>
              <c:f>[图表.xlsx]Sheet1!$A$48</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[图表.xlsx]Sheet1!$B$46:$C$46</c:f>
              <c:strCache>
                <c:ptCount val="2"/>
                <c:pt idx="0">
                  <c:v>收入</c:v>
                </c:pt>
                <c:pt idx="1">
                  <c:v>支出</c:v>
                </c:pt>
              </c:strCache>
            </c:strRef>
          </c:cat>
          <c:val>
            <c:numRef>
              <c:f>[图表.xlsx]Sheet1!$B$48:$C$48</c:f>
              <c:numCache>
                <c:formatCode>General</c:formatCode>
                <c:ptCount val="2"/>
                <c:pt idx="0">
                  <c:v>686.04</c:v>
                </c:pt>
                <c:pt idx="1">
                  <c:v>686.04</c:v>
                </c:pt>
              </c:numCache>
            </c:numRef>
          </c:val>
        </c:ser>
        <c:dLbls>
          <c:showLegendKey val="0"/>
          <c:showVal val="1"/>
          <c:showCatName val="0"/>
          <c:showSerName val="0"/>
          <c:showPercent val="0"/>
          <c:showBubbleSize val="0"/>
        </c:dLbls>
        <c:gapWidth val="219"/>
        <c:overlap val="-27"/>
        <c:axId val="392147730"/>
        <c:axId val="365336680"/>
      </c:barChart>
      <c:catAx>
        <c:axId val="3921477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5336680"/>
        <c:crosses val="autoZero"/>
        <c:auto val="1"/>
        <c:lblAlgn val="ctr"/>
        <c:lblOffset val="100"/>
        <c:noMultiLvlLbl val="0"/>
      </c:catAx>
      <c:valAx>
        <c:axId val="365336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214773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b="0"/>
              <a:t>一般公共预算财政拨款支出决算变动情况</a:t>
            </a:r>
            <a:endParaRPr b="0"/>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[图表.xlsx]Sheet1!$A$64:$A$65</c:f>
              <c:strCache>
                <c:ptCount val="2"/>
                <c:pt idx="0">
                  <c:v>2022年</c:v>
                </c:pt>
                <c:pt idx="1">
                  <c:v>2023年</c:v>
                </c:pt>
              </c:strCache>
            </c:strRef>
          </c:cat>
          <c:val>
            <c:numRef>
              <c:f>[图表.xlsx]Sheet1!$B$64:$B$65</c:f>
              <c:numCache>
                <c:formatCode>General</c:formatCode>
                <c:ptCount val="2"/>
                <c:pt idx="0">
                  <c:v>552.51</c:v>
                </c:pt>
                <c:pt idx="1">
                  <c:v>686.04</c:v>
                </c:pt>
              </c:numCache>
            </c:numRef>
          </c:val>
        </c:ser>
        <c:dLbls>
          <c:showLegendKey val="0"/>
          <c:showVal val="1"/>
          <c:showCatName val="0"/>
          <c:showSerName val="0"/>
          <c:showPercent val="0"/>
          <c:showBubbleSize val="0"/>
        </c:dLbls>
        <c:gapWidth val="246"/>
        <c:overlap val="-28"/>
        <c:axId val="598035413"/>
        <c:axId val="964923085"/>
      </c:barChart>
      <c:catAx>
        <c:axId val="5980354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964923085"/>
        <c:crosses val="autoZero"/>
        <c:auto val="1"/>
        <c:lblAlgn val="ctr"/>
        <c:lblOffset val="100"/>
        <c:noMultiLvlLbl val="0"/>
      </c:catAx>
      <c:valAx>
        <c:axId val="964923085"/>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5980354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manualLayout>
          <c:xMode val="edge"/>
          <c:yMode val="edge"/>
          <c:x val="0.180976546427102"/>
          <c:y val="0.013013738672902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51832549474233"/>
                  <c:y val="-0.12280787107405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147259670544"/>
                  <c:y val="0.09050808562697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32676682352876"/>
                  <c:y val="0.11326744579829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65876151061347"/>
                  <c:y val="0.10880492366226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[图表.xlsx]Sheet1!$A$85:$A$88</c:f>
              <c:strCache>
                <c:ptCount val="4"/>
                <c:pt idx="0">
                  <c:v>一般公共服务支出</c:v>
                </c:pt>
                <c:pt idx="1">
                  <c:v>社会保障和就业支出</c:v>
                </c:pt>
                <c:pt idx="2">
                  <c:v>卫生健康支出</c:v>
                </c:pt>
                <c:pt idx="3">
                  <c:v>住房保障支出</c:v>
                </c:pt>
              </c:strCache>
            </c:strRef>
          </c:cat>
          <c:val>
            <c:numRef>
              <c:f>[图表.xlsx]Sheet1!$B$85:$B$88</c:f>
              <c:numCache>
                <c:formatCode>General</c:formatCode>
                <c:ptCount val="4"/>
                <c:pt idx="0">
                  <c:v>495.11</c:v>
                </c:pt>
                <c:pt idx="1">
                  <c:v>134.77</c:v>
                </c:pt>
                <c:pt idx="2">
                  <c:v>25.8</c:v>
                </c:pt>
                <c:pt idx="3">
                  <c:v>30.36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2"/>
              <c:layout>
                <c:manualLayout>
                  <c:x val="-5.72476572150056e-7"/>
                  <c:y val="-0.1829861892197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[图表.xlsx]Sheet1!$A$99:$A$102</c:f>
              <c:strCache>
                <c:ptCount val="4"/>
                <c:pt idx="0">
                  <c:v>因公出国（境）经费</c:v>
                </c:pt>
                <c:pt idx="1">
                  <c:v>公务用车购置及运行维护费</c:v>
                </c:pt>
                <c:pt idx="2">
                  <c:v>公务接待费</c:v>
                </c:pt>
                <c:pt idx="3">
                  <c:v>公务用车运行维护费</c:v>
                </c:pt>
              </c:strCache>
            </c:strRef>
          </c:cat>
          <c:val>
            <c:numRef>
              <c:f>[图表.xlsx]Sheet1!$B$99:$B$102</c:f>
              <c:numCache>
                <c:formatCode>General</c:formatCode>
                <c:ptCount val="4"/>
                <c:pt idx="0">
                  <c:v>0</c:v>
                </c:pt>
                <c:pt idx="1">
                  <c:v>0.52</c:v>
                </c:pt>
                <c:pt idx="2">
                  <c:v>2.4</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9287</Words>
  <Characters>10481</Characters>
  <Lines>0</Lines>
  <Paragraphs>0</Paragraphs>
  <TotalTime>22</TotalTime>
  <ScaleCrop>false</ScaleCrop>
  <LinksUpToDate>false</LinksUpToDate>
  <CharactersWithSpaces>10555</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2021-09-10T03:29:00Z</dcterms:created>
  <dc:creator>Administrator</dc:creator>
  <cp:lastModifiedBy>lenovo</cp:lastModifiedBy>
  <dcterms:modified xsi:type="dcterms:W3CDTF">2024-10-09T08:27:52Z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AD572CED77974D8E8408BD5F759D5159</vt:lpwstr>
  </property>
</Properties>
</file>